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F676" w14:textId="77777777" w:rsidR="001E6B2C" w:rsidRDefault="001E6B2C" w:rsidP="006066BE">
      <w:pPr>
        <w:pStyle w:val="Titre"/>
        <w:rPr>
          <w:rFonts w:ascii="Neo Sans Pro" w:hAnsi="Neo Sans Pro"/>
          <w:b/>
          <w:sz w:val="36"/>
          <w:szCs w:val="32"/>
        </w:rPr>
      </w:pPr>
    </w:p>
    <w:p w14:paraId="0F677F06" w14:textId="1E9C4A70" w:rsidR="00582695" w:rsidRPr="00B97CF7" w:rsidRDefault="006066BE" w:rsidP="006066BE">
      <w:pPr>
        <w:pStyle w:val="Titre"/>
      </w:pPr>
      <w:r w:rsidRPr="006066BE">
        <w:rPr>
          <w:rFonts w:ascii="Neo Sans Pro" w:hAnsi="Neo Sans Pro"/>
          <w:b/>
          <w:sz w:val="36"/>
          <w:szCs w:val="32"/>
        </w:rPr>
        <w:t xml:space="preserve">Eléments </w:t>
      </w:r>
      <w:r w:rsidR="001E6B2C" w:rsidRPr="006066BE">
        <w:rPr>
          <w:rFonts w:ascii="Neo Sans Pro" w:hAnsi="Neo Sans Pro"/>
          <w:b/>
          <w:sz w:val="36"/>
          <w:szCs w:val="32"/>
        </w:rPr>
        <w:t>à</w:t>
      </w:r>
      <w:r w:rsidRPr="006066BE">
        <w:rPr>
          <w:rFonts w:ascii="Neo Sans Pro" w:hAnsi="Neo Sans Pro"/>
          <w:b/>
          <w:sz w:val="36"/>
          <w:szCs w:val="32"/>
        </w:rPr>
        <w:t xml:space="preserve"> communiquer </w:t>
      </w:r>
      <w:r w:rsidRPr="006066BE">
        <w:rPr>
          <w:rFonts w:ascii="Neo Sans Pro" w:hAnsi="Neo Sans Pro"/>
          <w:b/>
          <w:sz w:val="36"/>
          <w:szCs w:val="32"/>
        </w:rPr>
        <w:br/>
        <w:t>obligatoirement à</w:t>
      </w:r>
      <w:r>
        <w:t xml:space="preserve"> </w:t>
      </w:r>
      <w:r w:rsidRPr="006066BE">
        <w:rPr>
          <w:rFonts w:ascii="Neo Sans Pro" w:hAnsi="Neo Sans Pro"/>
          <w:b/>
          <w:sz w:val="36"/>
          <w:szCs w:val="32"/>
        </w:rPr>
        <w:t>vos</w:t>
      </w:r>
      <w:r>
        <w:t xml:space="preserve"> </w:t>
      </w:r>
      <w:r w:rsidRPr="006066BE">
        <w:rPr>
          <w:rFonts w:ascii="Neo Sans Pro" w:hAnsi="Neo Sans Pro"/>
          <w:b/>
          <w:bCs/>
          <w:sz w:val="36"/>
          <w:szCs w:val="32"/>
        </w:rPr>
        <w:t>salariés</w:t>
      </w:r>
    </w:p>
    <w:p w14:paraId="09DBFFB9" w14:textId="77777777" w:rsidR="00B97CF7" w:rsidRDefault="00B97CF7"/>
    <w:p w14:paraId="3673A268" w14:textId="77777777" w:rsidR="00B97CF7" w:rsidRDefault="00B97CF7"/>
    <w:p w14:paraId="4E267CFE" w14:textId="77777777" w:rsidR="006066BE" w:rsidRDefault="006066BE"/>
    <w:p w14:paraId="5634BB04" w14:textId="77777777" w:rsidR="006066BE" w:rsidRDefault="006066BE"/>
    <w:p w14:paraId="10B0A6DA" w14:textId="77777777" w:rsidR="006066BE" w:rsidRDefault="006066BE"/>
    <w:tbl>
      <w:tblPr>
        <w:tblStyle w:val="Grilledutableau"/>
        <w:tblpPr w:leftFromText="141" w:rightFromText="141" w:vertAnchor="text" w:horzAnchor="margin" w:tblpXSpec="center" w:tblpY="85"/>
        <w:tblOverlap w:val="never"/>
        <w:tblW w:w="0" w:type="auto"/>
        <w:tblLook w:val="04A0" w:firstRow="1" w:lastRow="0" w:firstColumn="1" w:lastColumn="0" w:noHBand="0" w:noVBand="1"/>
      </w:tblPr>
      <w:tblGrid>
        <w:gridCol w:w="8217"/>
      </w:tblGrid>
      <w:tr w:rsidR="001E6B2C" w14:paraId="350A08FD" w14:textId="77777777" w:rsidTr="001D29B6">
        <w:tc>
          <w:tcPr>
            <w:tcW w:w="8217" w:type="dxa"/>
            <w:shd w:val="clear" w:color="auto" w:fill="E7E6E6" w:themeFill="background2"/>
          </w:tcPr>
          <w:p w14:paraId="0CB2BDC6" w14:textId="48DD01A4" w:rsidR="001E6B2C" w:rsidRDefault="001E6B2C" w:rsidP="001D29B6">
            <w:pPr>
              <w:jc w:val="center"/>
              <w:rPr>
                <w:sz w:val="24"/>
                <w:szCs w:val="28"/>
              </w:rPr>
            </w:pPr>
            <w:r>
              <w:rPr>
                <w:sz w:val="24"/>
                <w:szCs w:val="28"/>
              </w:rPr>
              <w:br/>
              <w:t>Vous trouverez ci-après des trames pour vous aider à répondre à vos obligations de communications.</w:t>
            </w:r>
          </w:p>
          <w:p w14:paraId="40270C27" w14:textId="1FBE28DC" w:rsidR="001E6B2C" w:rsidRDefault="001E6B2C" w:rsidP="001D29B6">
            <w:pPr>
              <w:jc w:val="center"/>
            </w:pPr>
            <w:r>
              <w:rPr>
                <w:sz w:val="24"/>
                <w:szCs w:val="28"/>
              </w:rPr>
              <w:t>Nous vous invitons à remplir les champs qui correspondent à votre entreprise et à constituer ainsi vos propres éléments de communication.</w:t>
            </w:r>
            <w:r>
              <w:rPr>
                <w:sz w:val="24"/>
                <w:szCs w:val="28"/>
              </w:rPr>
              <w:br/>
            </w:r>
          </w:p>
        </w:tc>
      </w:tr>
    </w:tbl>
    <w:p w14:paraId="1762C250" w14:textId="77777777" w:rsidR="006066BE" w:rsidRDefault="006066BE"/>
    <w:p w14:paraId="21EF36F2" w14:textId="77777777" w:rsidR="006066BE" w:rsidRDefault="006066BE"/>
    <w:p w14:paraId="4A0B3154" w14:textId="77777777" w:rsidR="006066BE" w:rsidRDefault="006066BE"/>
    <w:p w14:paraId="2E7BA2E8" w14:textId="77777777" w:rsidR="006066BE" w:rsidRDefault="006066BE"/>
    <w:p w14:paraId="2C61FE45" w14:textId="77777777" w:rsidR="006066BE" w:rsidRDefault="006066BE"/>
    <w:p w14:paraId="133321FF" w14:textId="77777777" w:rsidR="006066BE" w:rsidRDefault="006066BE"/>
    <w:p w14:paraId="7E2145F1" w14:textId="77777777" w:rsidR="006066BE" w:rsidRDefault="006066BE"/>
    <w:p w14:paraId="5B2B5F2B" w14:textId="77777777" w:rsidR="006066BE" w:rsidRDefault="006066BE"/>
    <w:p w14:paraId="495977B4" w14:textId="77777777" w:rsidR="006066BE" w:rsidRDefault="006066BE"/>
    <w:p w14:paraId="4EB6A214" w14:textId="77777777" w:rsidR="006066BE" w:rsidRDefault="006066BE"/>
    <w:p w14:paraId="4DAB6617" w14:textId="77777777" w:rsidR="006066BE" w:rsidRDefault="006066BE"/>
    <w:p w14:paraId="79B072C6" w14:textId="77777777" w:rsidR="006066BE" w:rsidRDefault="006066BE"/>
    <w:p w14:paraId="2D27042A" w14:textId="77777777" w:rsidR="006066BE" w:rsidRDefault="006066BE"/>
    <w:p w14:paraId="0638CFD6" w14:textId="77777777" w:rsidR="006066BE" w:rsidRDefault="006066BE"/>
    <w:p w14:paraId="651B2178" w14:textId="77777777" w:rsidR="006066BE" w:rsidRDefault="006066BE"/>
    <w:p w14:paraId="14DD385D" w14:textId="77777777" w:rsidR="006066BE" w:rsidRDefault="006066BE"/>
    <w:p w14:paraId="682F3AC5" w14:textId="77777777" w:rsidR="006066BE" w:rsidRDefault="006066BE"/>
    <w:p w14:paraId="39CB578B" w14:textId="77777777" w:rsidR="006066BE" w:rsidRDefault="006066BE"/>
    <w:p w14:paraId="191AC030" w14:textId="77777777" w:rsidR="001E6B2C" w:rsidRDefault="001E6B2C"/>
    <w:p w14:paraId="5E176C84" w14:textId="77777777" w:rsidR="006066BE" w:rsidRDefault="006066BE"/>
    <w:p w14:paraId="25A81E01" w14:textId="77777777" w:rsidR="006066BE" w:rsidRDefault="006066BE"/>
    <w:sdt>
      <w:sdtPr>
        <w:rPr>
          <w:rFonts w:ascii="Tahoma" w:eastAsiaTheme="minorEastAsia" w:hAnsi="Tahoma" w:cstheme="minorBidi"/>
          <w:b w:val="0"/>
          <w:bCs w:val="0"/>
          <w:caps w:val="0"/>
          <w:color w:val="auto"/>
          <w:kern w:val="2"/>
          <w:sz w:val="20"/>
          <w:szCs w:val="22"/>
          <w:lang w:eastAsia="fr-FR"/>
          <w14:ligatures w14:val="standardContextual"/>
        </w:rPr>
        <w:id w:val="1602301148"/>
        <w:docPartObj>
          <w:docPartGallery w:val="Table of Contents"/>
          <w:docPartUnique/>
        </w:docPartObj>
      </w:sdtPr>
      <w:sdtEndPr/>
      <w:sdtContent>
        <w:p w14:paraId="6439578E" w14:textId="0CAAA228" w:rsidR="00B97CF7" w:rsidRPr="00F65402" w:rsidRDefault="00B97CF7" w:rsidP="00B97CF7">
          <w:pPr>
            <w:pStyle w:val="Parties"/>
            <w:jc w:val="left"/>
            <w:rPr>
              <w:sz w:val="28"/>
              <w:szCs w:val="28"/>
            </w:rPr>
          </w:pPr>
          <w:r w:rsidRPr="00F65402">
            <w:rPr>
              <w:caps w:val="0"/>
              <w:sz w:val="28"/>
              <w:szCs w:val="28"/>
            </w:rPr>
            <w:t>Sommaire</w:t>
          </w:r>
        </w:p>
        <w:p w14:paraId="3BF29A3B" w14:textId="77777777" w:rsidR="00B97CF7" w:rsidRPr="008867FC" w:rsidRDefault="00B97CF7" w:rsidP="00B97CF7">
          <w:pPr>
            <w:rPr>
              <w:rFonts w:ascii="Neo Sans Pro" w:hAnsi="Neo Sans Pro"/>
              <w:sz w:val="24"/>
              <w:szCs w:val="28"/>
            </w:rPr>
          </w:pPr>
        </w:p>
        <w:p w14:paraId="12E810D1" w14:textId="11757CA9" w:rsidR="002E2B78" w:rsidRDefault="00B97CF7">
          <w:pPr>
            <w:pStyle w:val="TM1"/>
            <w:tabs>
              <w:tab w:val="right" w:leader="dot" w:pos="10456"/>
            </w:tabs>
            <w:rPr>
              <w:rStyle w:val="Lienhypertexte"/>
              <w:rFonts w:ascii="Neo Sans Pro" w:hAnsi="Neo Sans Pro"/>
              <w:noProof/>
              <w:sz w:val="24"/>
              <w:szCs w:val="28"/>
            </w:rPr>
          </w:pPr>
          <w:r w:rsidRPr="008867FC">
            <w:rPr>
              <w:rFonts w:ascii="Neo Sans Pro" w:hAnsi="Neo Sans Pro"/>
              <w:sz w:val="24"/>
              <w:szCs w:val="28"/>
            </w:rPr>
            <w:fldChar w:fldCharType="begin"/>
          </w:r>
          <w:r w:rsidRPr="008867FC">
            <w:rPr>
              <w:rFonts w:ascii="Neo Sans Pro" w:hAnsi="Neo Sans Pro"/>
              <w:sz w:val="24"/>
              <w:szCs w:val="28"/>
            </w:rPr>
            <w:instrText xml:space="preserve"> TOC \o "1-3" \h \z \u </w:instrText>
          </w:r>
          <w:r w:rsidRPr="008867FC">
            <w:rPr>
              <w:rFonts w:ascii="Neo Sans Pro" w:hAnsi="Neo Sans Pro"/>
              <w:sz w:val="24"/>
              <w:szCs w:val="28"/>
            </w:rPr>
            <w:fldChar w:fldCharType="separate"/>
          </w:r>
          <w:hyperlink w:anchor="_Toc148101825" w:history="1">
            <w:r w:rsidR="002E2B78" w:rsidRPr="002E2B78">
              <w:rPr>
                <w:rStyle w:val="Lienhypertexte"/>
                <w:rFonts w:ascii="Neo Sans Pro" w:hAnsi="Neo Sans Pro"/>
                <w:noProof/>
                <w:sz w:val="24"/>
                <w:szCs w:val="28"/>
              </w:rPr>
              <w:t>CCN et accprds collectifs</w:t>
            </w:r>
            <w:r w:rsidR="002E2B78" w:rsidRPr="002E2B78">
              <w:rPr>
                <w:rFonts w:ascii="Neo Sans Pro" w:hAnsi="Neo Sans Pro"/>
                <w:noProof/>
                <w:webHidden/>
                <w:sz w:val="24"/>
                <w:szCs w:val="28"/>
              </w:rPr>
              <w:tab/>
            </w:r>
            <w:r w:rsidR="002E2B78" w:rsidRPr="002E2B78">
              <w:rPr>
                <w:rFonts w:ascii="Neo Sans Pro" w:hAnsi="Neo Sans Pro"/>
                <w:noProof/>
                <w:webHidden/>
                <w:sz w:val="24"/>
                <w:szCs w:val="28"/>
              </w:rPr>
              <w:fldChar w:fldCharType="begin"/>
            </w:r>
            <w:r w:rsidR="002E2B78" w:rsidRPr="002E2B78">
              <w:rPr>
                <w:rFonts w:ascii="Neo Sans Pro" w:hAnsi="Neo Sans Pro"/>
                <w:noProof/>
                <w:webHidden/>
                <w:sz w:val="24"/>
                <w:szCs w:val="28"/>
              </w:rPr>
              <w:instrText xml:space="preserve"> PAGEREF _Toc148101825 \h </w:instrText>
            </w:r>
            <w:r w:rsidR="002E2B78" w:rsidRPr="002E2B78">
              <w:rPr>
                <w:rFonts w:ascii="Neo Sans Pro" w:hAnsi="Neo Sans Pro"/>
                <w:noProof/>
                <w:webHidden/>
                <w:sz w:val="24"/>
                <w:szCs w:val="28"/>
              </w:rPr>
            </w:r>
            <w:r w:rsidR="002E2B78" w:rsidRPr="002E2B78">
              <w:rPr>
                <w:rFonts w:ascii="Neo Sans Pro" w:hAnsi="Neo Sans Pro"/>
                <w:noProof/>
                <w:webHidden/>
                <w:sz w:val="24"/>
                <w:szCs w:val="28"/>
              </w:rPr>
              <w:fldChar w:fldCharType="separate"/>
            </w:r>
            <w:r w:rsidR="002E2B78" w:rsidRPr="002E2B78">
              <w:rPr>
                <w:rFonts w:ascii="Neo Sans Pro" w:hAnsi="Neo Sans Pro"/>
                <w:noProof/>
                <w:webHidden/>
                <w:sz w:val="24"/>
                <w:szCs w:val="28"/>
              </w:rPr>
              <w:t>2</w:t>
            </w:r>
            <w:r w:rsidR="002E2B78" w:rsidRPr="002E2B78">
              <w:rPr>
                <w:rFonts w:ascii="Neo Sans Pro" w:hAnsi="Neo Sans Pro"/>
                <w:noProof/>
                <w:webHidden/>
                <w:sz w:val="24"/>
                <w:szCs w:val="28"/>
              </w:rPr>
              <w:fldChar w:fldCharType="end"/>
            </w:r>
          </w:hyperlink>
        </w:p>
        <w:p w14:paraId="62745A19" w14:textId="77777777" w:rsidR="002E2B78" w:rsidRPr="002E2B78" w:rsidRDefault="002E2B78" w:rsidP="002E2B78"/>
        <w:p w14:paraId="6BD9D147" w14:textId="2C83F2F8" w:rsidR="002E2B78" w:rsidRDefault="002E2B78">
          <w:pPr>
            <w:pStyle w:val="TM1"/>
            <w:tabs>
              <w:tab w:val="right" w:leader="dot" w:pos="10456"/>
            </w:tabs>
            <w:rPr>
              <w:rStyle w:val="Lienhypertexte"/>
              <w:rFonts w:ascii="Neo Sans Pro" w:hAnsi="Neo Sans Pro"/>
              <w:noProof/>
              <w:sz w:val="24"/>
              <w:szCs w:val="28"/>
            </w:rPr>
          </w:pPr>
          <w:hyperlink w:anchor="_Toc148101826" w:history="1">
            <w:r w:rsidRPr="002E2B78">
              <w:rPr>
                <w:rStyle w:val="Lienhypertexte"/>
                <w:rFonts w:ascii="Neo Sans Pro" w:hAnsi="Neo Sans Pro"/>
                <w:noProof/>
                <w:sz w:val="24"/>
                <w:szCs w:val="28"/>
              </w:rPr>
              <w:t>Organisations syndicales</w:t>
            </w:r>
            <w:r w:rsidRPr="002E2B78">
              <w:rPr>
                <w:rFonts w:ascii="Neo Sans Pro" w:hAnsi="Neo Sans Pro"/>
                <w:noProof/>
                <w:webHidden/>
                <w:sz w:val="24"/>
                <w:szCs w:val="28"/>
              </w:rPr>
              <w:tab/>
            </w:r>
            <w:r w:rsidRPr="002E2B78">
              <w:rPr>
                <w:rFonts w:ascii="Neo Sans Pro" w:hAnsi="Neo Sans Pro"/>
                <w:noProof/>
                <w:webHidden/>
                <w:sz w:val="24"/>
                <w:szCs w:val="28"/>
              </w:rPr>
              <w:fldChar w:fldCharType="begin"/>
            </w:r>
            <w:r w:rsidRPr="002E2B78">
              <w:rPr>
                <w:rFonts w:ascii="Neo Sans Pro" w:hAnsi="Neo Sans Pro"/>
                <w:noProof/>
                <w:webHidden/>
                <w:sz w:val="24"/>
                <w:szCs w:val="28"/>
              </w:rPr>
              <w:instrText xml:space="preserve"> PAGEREF _Toc148101826 \h </w:instrText>
            </w:r>
            <w:r w:rsidRPr="002E2B78">
              <w:rPr>
                <w:rFonts w:ascii="Neo Sans Pro" w:hAnsi="Neo Sans Pro"/>
                <w:noProof/>
                <w:webHidden/>
                <w:sz w:val="24"/>
                <w:szCs w:val="28"/>
              </w:rPr>
            </w:r>
            <w:r w:rsidRPr="002E2B78">
              <w:rPr>
                <w:rFonts w:ascii="Neo Sans Pro" w:hAnsi="Neo Sans Pro"/>
                <w:noProof/>
                <w:webHidden/>
                <w:sz w:val="24"/>
                <w:szCs w:val="28"/>
              </w:rPr>
              <w:fldChar w:fldCharType="separate"/>
            </w:r>
            <w:r w:rsidRPr="002E2B78">
              <w:rPr>
                <w:rFonts w:ascii="Neo Sans Pro" w:hAnsi="Neo Sans Pro"/>
                <w:noProof/>
                <w:webHidden/>
                <w:sz w:val="24"/>
                <w:szCs w:val="28"/>
              </w:rPr>
              <w:t>2</w:t>
            </w:r>
            <w:r w:rsidRPr="002E2B78">
              <w:rPr>
                <w:rFonts w:ascii="Neo Sans Pro" w:hAnsi="Neo Sans Pro"/>
                <w:noProof/>
                <w:webHidden/>
                <w:sz w:val="24"/>
                <w:szCs w:val="28"/>
              </w:rPr>
              <w:fldChar w:fldCharType="end"/>
            </w:r>
          </w:hyperlink>
        </w:p>
        <w:p w14:paraId="41D3230D" w14:textId="77777777" w:rsidR="002E2B78" w:rsidRPr="002E2B78" w:rsidRDefault="002E2B78" w:rsidP="002E2B78"/>
        <w:p w14:paraId="1E3E8935" w14:textId="6066213A" w:rsidR="002E2B78" w:rsidRDefault="002E2B78">
          <w:pPr>
            <w:pStyle w:val="TM1"/>
            <w:tabs>
              <w:tab w:val="right" w:leader="dot" w:pos="10456"/>
            </w:tabs>
            <w:rPr>
              <w:rStyle w:val="Lienhypertexte"/>
              <w:rFonts w:ascii="Neo Sans Pro" w:hAnsi="Neo Sans Pro"/>
              <w:noProof/>
              <w:sz w:val="24"/>
              <w:szCs w:val="28"/>
            </w:rPr>
          </w:pPr>
          <w:hyperlink w:anchor="_Toc148101827" w:history="1">
            <w:r w:rsidRPr="002E2B78">
              <w:rPr>
                <w:rStyle w:val="Lienhypertexte"/>
                <w:rFonts w:ascii="Neo Sans Pro" w:hAnsi="Neo Sans Pro"/>
                <w:noProof/>
                <w:sz w:val="24"/>
                <w:szCs w:val="28"/>
              </w:rPr>
              <w:t>Égalit</w:t>
            </w:r>
            <w:r>
              <w:rPr>
                <w:rStyle w:val="Lienhypertexte"/>
                <w:rFonts w:ascii="Neo Sans Pro" w:hAnsi="Neo Sans Pro"/>
                <w:noProof/>
                <w:sz w:val="24"/>
                <w:szCs w:val="28"/>
              </w:rPr>
              <w:t>é</w:t>
            </w:r>
            <w:r w:rsidRPr="002E2B78">
              <w:rPr>
                <w:rStyle w:val="Lienhypertexte"/>
                <w:rFonts w:ascii="Neo Sans Pro" w:hAnsi="Neo Sans Pro"/>
                <w:noProof/>
                <w:sz w:val="24"/>
                <w:szCs w:val="28"/>
              </w:rPr>
              <w:t xml:space="preserve"> professionnelle et salariale entre les femmes et les hommes</w:t>
            </w:r>
            <w:r w:rsidRPr="002E2B78">
              <w:rPr>
                <w:rFonts w:ascii="Neo Sans Pro" w:hAnsi="Neo Sans Pro"/>
                <w:noProof/>
                <w:webHidden/>
                <w:sz w:val="24"/>
                <w:szCs w:val="28"/>
              </w:rPr>
              <w:tab/>
            </w:r>
            <w:r w:rsidRPr="002E2B78">
              <w:rPr>
                <w:rFonts w:ascii="Neo Sans Pro" w:hAnsi="Neo Sans Pro"/>
                <w:noProof/>
                <w:webHidden/>
                <w:sz w:val="24"/>
                <w:szCs w:val="28"/>
              </w:rPr>
              <w:fldChar w:fldCharType="begin"/>
            </w:r>
            <w:r w:rsidRPr="002E2B78">
              <w:rPr>
                <w:rFonts w:ascii="Neo Sans Pro" w:hAnsi="Neo Sans Pro"/>
                <w:noProof/>
                <w:webHidden/>
                <w:sz w:val="24"/>
                <w:szCs w:val="28"/>
              </w:rPr>
              <w:instrText xml:space="preserve"> PAGEREF _Toc148101827 \h </w:instrText>
            </w:r>
            <w:r w:rsidRPr="002E2B78">
              <w:rPr>
                <w:rFonts w:ascii="Neo Sans Pro" w:hAnsi="Neo Sans Pro"/>
                <w:noProof/>
                <w:webHidden/>
                <w:sz w:val="24"/>
                <w:szCs w:val="28"/>
              </w:rPr>
            </w:r>
            <w:r w:rsidRPr="002E2B78">
              <w:rPr>
                <w:rFonts w:ascii="Neo Sans Pro" w:hAnsi="Neo Sans Pro"/>
                <w:noProof/>
                <w:webHidden/>
                <w:sz w:val="24"/>
                <w:szCs w:val="28"/>
              </w:rPr>
              <w:fldChar w:fldCharType="separate"/>
            </w:r>
            <w:r w:rsidRPr="002E2B78">
              <w:rPr>
                <w:rFonts w:ascii="Neo Sans Pro" w:hAnsi="Neo Sans Pro"/>
                <w:noProof/>
                <w:webHidden/>
                <w:sz w:val="24"/>
                <w:szCs w:val="28"/>
              </w:rPr>
              <w:t>3</w:t>
            </w:r>
            <w:r w:rsidRPr="002E2B78">
              <w:rPr>
                <w:rFonts w:ascii="Neo Sans Pro" w:hAnsi="Neo Sans Pro"/>
                <w:noProof/>
                <w:webHidden/>
                <w:sz w:val="24"/>
                <w:szCs w:val="28"/>
              </w:rPr>
              <w:fldChar w:fldCharType="end"/>
            </w:r>
          </w:hyperlink>
        </w:p>
        <w:p w14:paraId="4EC6D8B7" w14:textId="77777777" w:rsidR="002E2B78" w:rsidRPr="002E2B78" w:rsidRDefault="002E2B78" w:rsidP="002E2B78"/>
        <w:p w14:paraId="602265D5" w14:textId="45BB90AA" w:rsidR="002E2B78" w:rsidRDefault="002E2B78">
          <w:pPr>
            <w:pStyle w:val="TM1"/>
            <w:tabs>
              <w:tab w:val="right" w:leader="dot" w:pos="10456"/>
            </w:tabs>
            <w:rPr>
              <w:rStyle w:val="Lienhypertexte"/>
              <w:rFonts w:ascii="Neo Sans Pro" w:hAnsi="Neo Sans Pro"/>
              <w:noProof/>
              <w:sz w:val="24"/>
              <w:szCs w:val="28"/>
            </w:rPr>
          </w:pPr>
          <w:hyperlink w:anchor="_Toc148101828" w:history="1">
            <w:r w:rsidRPr="002E2B78">
              <w:rPr>
                <w:rStyle w:val="Lienhypertexte"/>
                <w:rFonts w:ascii="Neo Sans Pro" w:hAnsi="Neo Sans Pro"/>
                <w:noProof/>
                <w:sz w:val="24"/>
                <w:szCs w:val="28"/>
              </w:rPr>
              <w:t>Harcelement moral</w:t>
            </w:r>
            <w:r w:rsidRPr="002E2B78">
              <w:rPr>
                <w:rFonts w:ascii="Neo Sans Pro" w:hAnsi="Neo Sans Pro"/>
                <w:noProof/>
                <w:webHidden/>
                <w:sz w:val="24"/>
                <w:szCs w:val="28"/>
              </w:rPr>
              <w:tab/>
            </w:r>
            <w:r w:rsidRPr="002E2B78">
              <w:rPr>
                <w:rFonts w:ascii="Neo Sans Pro" w:hAnsi="Neo Sans Pro"/>
                <w:noProof/>
                <w:webHidden/>
                <w:sz w:val="24"/>
                <w:szCs w:val="28"/>
              </w:rPr>
              <w:fldChar w:fldCharType="begin"/>
            </w:r>
            <w:r w:rsidRPr="002E2B78">
              <w:rPr>
                <w:rFonts w:ascii="Neo Sans Pro" w:hAnsi="Neo Sans Pro"/>
                <w:noProof/>
                <w:webHidden/>
                <w:sz w:val="24"/>
                <w:szCs w:val="28"/>
              </w:rPr>
              <w:instrText xml:space="preserve"> PAGEREF _Toc148101828 \h </w:instrText>
            </w:r>
            <w:r w:rsidRPr="002E2B78">
              <w:rPr>
                <w:rFonts w:ascii="Neo Sans Pro" w:hAnsi="Neo Sans Pro"/>
                <w:noProof/>
                <w:webHidden/>
                <w:sz w:val="24"/>
                <w:szCs w:val="28"/>
              </w:rPr>
            </w:r>
            <w:r w:rsidRPr="002E2B78">
              <w:rPr>
                <w:rFonts w:ascii="Neo Sans Pro" w:hAnsi="Neo Sans Pro"/>
                <w:noProof/>
                <w:webHidden/>
                <w:sz w:val="24"/>
                <w:szCs w:val="28"/>
              </w:rPr>
              <w:fldChar w:fldCharType="separate"/>
            </w:r>
            <w:r w:rsidRPr="002E2B78">
              <w:rPr>
                <w:rFonts w:ascii="Neo Sans Pro" w:hAnsi="Neo Sans Pro"/>
                <w:noProof/>
                <w:webHidden/>
                <w:sz w:val="24"/>
                <w:szCs w:val="28"/>
              </w:rPr>
              <w:t>5</w:t>
            </w:r>
            <w:r w:rsidRPr="002E2B78">
              <w:rPr>
                <w:rFonts w:ascii="Neo Sans Pro" w:hAnsi="Neo Sans Pro"/>
                <w:noProof/>
                <w:webHidden/>
                <w:sz w:val="24"/>
                <w:szCs w:val="28"/>
              </w:rPr>
              <w:fldChar w:fldCharType="end"/>
            </w:r>
          </w:hyperlink>
        </w:p>
        <w:p w14:paraId="4542A41B" w14:textId="77777777" w:rsidR="002E2B78" w:rsidRPr="002E2B78" w:rsidRDefault="002E2B78" w:rsidP="002E2B78"/>
        <w:p w14:paraId="22A98355" w14:textId="79D9AA8F" w:rsidR="002E2B78" w:rsidRPr="002E2B78" w:rsidRDefault="002E2B78">
          <w:pPr>
            <w:pStyle w:val="TM1"/>
            <w:tabs>
              <w:tab w:val="right" w:leader="dot" w:pos="10456"/>
            </w:tabs>
            <w:rPr>
              <w:rFonts w:ascii="Neo Sans Pro" w:hAnsi="Neo Sans Pro"/>
              <w:noProof/>
              <w:sz w:val="28"/>
              <w:szCs w:val="28"/>
            </w:rPr>
          </w:pPr>
          <w:hyperlink w:anchor="_Toc148101829" w:history="1">
            <w:r w:rsidRPr="002E2B78">
              <w:rPr>
                <w:rStyle w:val="Lienhypertexte"/>
                <w:rFonts w:ascii="Neo Sans Pro" w:hAnsi="Neo Sans Pro"/>
                <w:noProof/>
                <w:sz w:val="24"/>
                <w:szCs w:val="28"/>
              </w:rPr>
              <w:t>Lutte contre les discriminations</w:t>
            </w:r>
            <w:r w:rsidRPr="002E2B78">
              <w:rPr>
                <w:rFonts w:ascii="Neo Sans Pro" w:hAnsi="Neo Sans Pro"/>
                <w:noProof/>
                <w:webHidden/>
                <w:sz w:val="24"/>
                <w:szCs w:val="28"/>
              </w:rPr>
              <w:tab/>
            </w:r>
            <w:r w:rsidRPr="002E2B78">
              <w:rPr>
                <w:rFonts w:ascii="Neo Sans Pro" w:hAnsi="Neo Sans Pro"/>
                <w:noProof/>
                <w:webHidden/>
                <w:sz w:val="24"/>
                <w:szCs w:val="28"/>
              </w:rPr>
              <w:fldChar w:fldCharType="begin"/>
            </w:r>
            <w:r w:rsidRPr="002E2B78">
              <w:rPr>
                <w:rFonts w:ascii="Neo Sans Pro" w:hAnsi="Neo Sans Pro"/>
                <w:noProof/>
                <w:webHidden/>
                <w:sz w:val="24"/>
                <w:szCs w:val="28"/>
              </w:rPr>
              <w:instrText xml:space="preserve"> PAGEREF _Toc148101829 \h </w:instrText>
            </w:r>
            <w:r w:rsidRPr="002E2B78">
              <w:rPr>
                <w:rFonts w:ascii="Neo Sans Pro" w:hAnsi="Neo Sans Pro"/>
                <w:noProof/>
                <w:webHidden/>
                <w:sz w:val="24"/>
                <w:szCs w:val="28"/>
              </w:rPr>
            </w:r>
            <w:r w:rsidRPr="002E2B78">
              <w:rPr>
                <w:rFonts w:ascii="Neo Sans Pro" w:hAnsi="Neo Sans Pro"/>
                <w:noProof/>
                <w:webHidden/>
                <w:sz w:val="24"/>
                <w:szCs w:val="28"/>
              </w:rPr>
              <w:fldChar w:fldCharType="separate"/>
            </w:r>
            <w:r w:rsidRPr="002E2B78">
              <w:rPr>
                <w:rFonts w:ascii="Neo Sans Pro" w:hAnsi="Neo Sans Pro"/>
                <w:noProof/>
                <w:webHidden/>
                <w:sz w:val="24"/>
                <w:szCs w:val="28"/>
              </w:rPr>
              <w:t>6</w:t>
            </w:r>
            <w:r w:rsidRPr="002E2B78">
              <w:rPr>
                <w:rFonts w:ascii="Neo Sans Pro" w:hAnsi="Neo Sans Pro"/>
                <w:noProof/>
                <w:webHidden/>
                <w:sz w:val="24"/>
                <w:szCs w:val="28"/>
              </w:rPr>
              <w:fldChar w:fldCharType="end"/>
            </w:r>
          </w:hyperlink>
        </w:p>
        <w:p w14:paraId="06E0C831" w14:textId="5C201D62" w:rsidR="00B97CF7" w:rsidRDefault="00B97CF7">
          <w:r w:rsidRPr="008867FC">
            <w:rPr>
              <w:rFonts w:ascii="Neo Sans Pro" w:hAnsi="Neo Sans Pro"/>
              <w:b/>
              <w:bCs/>
              <w:sz w:val="24"/>
              <w:szCs w:val="28"/>
            </w:rPr>
            <w:fldChar w:fldCharType="end"/>
          </w:r>
        </w:p>
      </w:sdtContent>
    </w:sdt>
    <w:p w14:paraId="5547735C" w14:textId="1AB76CF7" w:rsidR="006D47AD" w:rsidRDefault="006D47AD">
      <w:r>
        <w:br w:type="page"/>
      </w:r>
    </w:p>
    <w:p w14:paraId="03B5408B" w14:textId="77777777" w:rsidR="00AB76BE" w:rsidRPr="00AB76BE" w:rsidRDefault="00AB76BE" w:rsidP="00AB76BE"/>
    <w:p w14:paraId="7572AA00" w14:textId="5D002C5B" w:rsidR="0010128C" w:rsidRDefault="008867FC" w:rsidP="00B97CF7">
      <w:pPr>
        <w:pStyle w:val="Titre1"/>
      </w:pPr>
      <w:bookmarkStart w:id="0" w:name="_Toc148101825"/>
      <w:r>
        <w:t xml:space="preserve">CCN </w:t>
      </w:r>
      <w:r w:rsidR="002E2B78">
        <w:t>et accprds collectifs</w:t>
      </w:r>
      <w:bookmarkEnd w:id="0"/>
    </w:p>
    <w:p w14:paraId="4AF0C6EC" w14:textId="77777777" w:rsidR="0010128C" w:rsidRDefault="0010128C" w:rsidP="0010128C"/>
    <w:tbl>
      <w:tblPr>
        <w:tblStyle w:val="Grilledutableau"/>
        <w:tblW w:w="10598" w:type="dxa"/>
        <w:tblLook w:val="04A0" w:firstRow="1" w:lastRow="0" w:firstColumn="1" w:lastColumn="0" w:noHBand="0" w:noVBand="1"/>
      </w:tblPr>
      <w:tblGrid>
        <w:gridCol w:w="10598"/>
      </w:tblGrid>
      <w:tr w:rsidR="0010128C" w:rsidRPr="00D2506B" w14:paraId="78633A8D" w14:textId="77777777" w:rsidTr="00ED46BD">
        <w:tc>
          <w:tcPr>
            <w:tcW w:w="10598" w:type="dxa"/>
            <w:shd w:val="clear" w:color="auto" w:fill="EDF6FB"/>
          </w:tcPr>
          <w:p w14:paraId="120C2E91" w14:textId="77777777" w:rsidR="0010128C" w:rsidRPr="00D2506B" w:rsidRDefault="0010128C" w:rsidP="00F41843">
            <w:pPr>
              <w:pStyle w:val="TRAMES"/>
              <w:jc w:val="left"/>
            </w:pPr>
            <w:r w:rsidRPr="00D2506B">
              <w:t>Accords collectifs et convention collective applicables</w:t>
            </w:r>
          </w:p>
        </w:tc>
      </w:tr>
      <w:tr w:rsidR="0010128C" w:rsidRPr="000B0047" w14:paraId="05098EA9" w14:textId="77777777" w:rsidTr="00ED46BD">
        <w:tc>
          <w:tcPr>
            <w:tcW w:w="10598" w:type="dxa"/>
            <w:shd w:val="clear" w:color="auto" w:fill="FFFFFF" w:themeFill="background1"/>
          </w:tcPr>
          <w:p w14:paraId="11CA372D" w14:textId="77777777" w:rsidR="0010128C" w:rsidRPr="000B0047" w:rsidRDefault="0010128C" w:rsidP="00ED46BD">
            <w:pPr>
              <w:rPr>
                <w:rFonts w:cs="Tahoma"/>
                <w:b/>
                <w:bCs/>
                <w:szCs w:val="20"/>
              </w:rPr>
            </w:pPr>
            <w:r>
              <w:rPr>
                <w:rFonts w:cs="Tahoma"/>
                <w:b/>
                <w:bCs/>
                <w:szCs w:val="20"/>
              </w:rPr>
              <w:br/>
            </w:r>
            <w:r w:rsidRPr="000B0047">
              <w:rPr>
                <w:rFonts w:cs="Tahoma"/>
                <w:b/>
                <w:bCs/>
                <w:szCs w:val="20"/>
              </w:rPr>
              <w:t>Convention collective :</w:t>
            </w:r>
          </w:p>
          <w:p w14:paraId="15B367E2" w14:textId="77777777" w:rsidR="0010128C" w:rsidRPr="000B0047" w:rsidRDefault="0010128C" w:rsidP="00ED46BD">
            <w:pPr>
              <w:rPr>
                <w:rFonts w:cs="Tahoma"/>
                <w:szCs w:val="20"/>
              </w:rPr>
            </w:pPr>
            <w:r w:rsidRPr="000B0047">
              <w:rPr>
                <w:rFonts w:cs="Tahoma"/>
                <w:szCs w:val="20"/>
              </w:rPr>
              <w:t>Intitulé : Convention collective nationale des entreprises de propreté et services associés (</w:t>
            </w:r>
            <w:r>
              <w:rPr>
                <w:rFonts w:cs="Tahoma"/>
                <w:szCs w:val="20"/>
              </w:rPr>
              <w:t xml:space="preserve">IDCC : </w:t>
            </w:r>
            <w:r w:rsidRPr="000B0047">
              <w:rPr>
                <w:rFonts w:cs="Tahoma"/>
                <w:szCs w:val="20"/>
              </w:rPr>
              <w:t>3043)</w:t>
            </w:r>
          </w:p>
          <w:p w14:paraId="1EA4F4DD" w14:textId="77777777" w:rsidR="0010128C" w:rsidRPr="000B0047" w:rsidRDefault="0010128C" w:rsidP="00ED46BD">
            <w:pPr>
              <w:rPr>
                <w:rFonts w:cs="Tahoma"/>
                <w:szCs w:val="20"/>
              </w:rPr>
            </w:pPr>
            <w:r w:rsidRPr="000B0047">
              <w:rPr>
                <w:rFonts w:cs="Tahoma"/>
                <w:szCs w:val="20"/>
              </w:rPr>
              <w:t>Mise à disposition d’un exemplaire selon les modalités suivantes : ________________________</w:t>
            </w:r>
          </w:p>
          <w:p w14:paraId="395278C2" w14:textId="77777777" w:rsidR="0010128C" w:rsidRPr="000B0047" w:rsidRDefault="0010128C" w:rsidP="00ED46BD">
            <w:pPr>
              <w:rPr>
                <w:rFonts w:cs="Tahoma"/>
                <w:szCs w:val="20"/>
              </w:rPr>
            </w:pPr>
          </w:p>
          <w:p w14:paraId="2BEF8657" w14:textId="77777777" w:rsidR="0010128C" w:rsidRPr="000B0047" w:rsidRDefault="0010128C" w:rsidP="00ED46BD">
            <w:pPr>
              <w:pBdr>
                <w:between w:val="single" w:sz="4" w:space="1" w:color="auto"/>
              </w:pBdr>
              <w:rPr>
                <w:rFonts w:cs="Tahoma"/>
                <w:b/>
                <w:bCs/>
                <w:szCs w:val="20"/>
              </w:rPr>
            </w:pPr>
            <w:r w:rsidRPr="000B0047">
              <w:rPr>
                <w:rFonts w:cs="Tahoma"/>
                <w:b/>
                <w:bCs/>
                <w:szCs w:val="20"/>
              </w:rPr>
              <w:t xml:space="preserve">Accords collectifs applicables (le cas échéant) : </w:t>
            </w:r>
          </w:p>
          <w:p w14:paraId="1F01859C" w14:textId="77777777" w:rsidR="0010128C" w:rsidRPr="000B0047" w:rsidRDefault="0010128C" w:rsidP="00ED46BD">
            <w:pPr>
              <w:rPr>
                <w:rFonts w:cs="Tahoma"/>
                <w:szCs w:val="20"/>
              </w:rPr>
            </w:pPr>
            <w:r w:rsidRPr="000B0047">
              <w:rPr>
                <w:rFonts w:cs="Tahoma"/>
                <w:szCs w:val="20"/>
              </w:rPr>
              <w:t>Intitulés : ______________________________________________________________</w:t>
            </w:r>
          </w:p>
          <w:p w14:paraId="186F6886" w14:textId="77777777" w:rsidR="0010128C" w:rsidRPr="000B0047" w:rsidRDefault="0010128C" w:rsidP="00ED46BD">
            <w:pPr>
              <w:rPr>
                <w:rFonts w:cs="Tahoma"/>
                <w:szCs w:val="20"/>
              </w:rPr>
            </w:pPr>
            <w:r w:rsidRPr="000B0047">
              <w:rPr>
                <w:rFonts w:cs="Tahoma"/>
                <w:szCs w:val="20"/>
              </w:rPr>
              <w:t>Consultation selon les modalités suivantes : ________________________</w:t>
            </w:r>
            <w:r>
              <w:rPr>
                <w:rFonts w:cs="Tahoma"/>
                <w:szCs w:val="20"/>
              </w:rPr>
              <w:br/>
            </w:r>
          </w:p>
        </w:tc>
      </w:tr>
    </w:tbl>
    <w:p w14:paraId="5AB2A2CA" w14:textId="77777777" w:rsidR="0010128C" w:rsidRDefault="0010128C" w:rsidP="0010128C"/>
    <w:p w14:paraId="03B47321" w14:textId="5419F9E7" w:rsidR="00AD432A" w:rsidRDefault="00AD432A" w:rsidP="00AD432A"/>
    <w:p w14:paraId="06A159BE" w14:textId="77777777" w:rsidR="006D47AD" w:rsidRDefault="006D47AD" w:rsidP="00AD432A"/>
    <w:p w14:paraId="507C779C" w14:textId="77777777" w:rsidR="006D47AD" w:rsidRDefault="006D47AD" w:rsidP="00AD432A"/>
    <w:p w14:paraId="389C1BB1" w14:textId="6B7CA2D3" w:rsidR="006D47AD" w:rsidRDefault="006D47AD" w:rsidP="00AD432A">
      <w:r>
        <w:br/>
      </w:r>
    </w:p>
    <w:p w14:paraId="25B365B0" w14:textId="77777777" w:rsidR="006D47AD" w:rsidRDefault="006D47AD" w:rsidP="00AD432A"/>
    <w:p w14:paraId="7863FB39" w14:textId="5D505027" w:rsidR="00AD432A" w:rsidRPr="00896929" w:rsidRDefault="002E2B78" w:rsidP="00B97CF7">
      <w:pPr>
        <w:pStyle w:val="Titre1"/>
      </w:pPr>
      <w:bookmarkStart w:id="1" w:name="_Toc148101826"/>
      <w:r>
        <w:t>O</w:t>
      </w:r>
      <w:r w:rsidR="00AD432A">
        <w:t>rganisations syndicales</w:t>
      </w:r>
      <w:bookmarkEnd w:id="1"/>
    </w:p>
    <w:p w14:paraId="01C1490B" w14:textId="2799B7E2" w:rsidR="00896929" w:rsidRDefault="00896929" w:rsidP="00146370"/>
    <w:tbl>
      <w:tblPr>
        <w:tblStyle w:val="Grilledutableau"/>
        <w:tblW w:w="10598" w:type="dxa"/>
        <w:tblLook w:val="04A0" w:firstRow="1" w:lastRow="0" w:firstColumn="1" w:lastColumn="0" w:noHBand="0" w:noVBand="1"/>
      </w:tblPr>
      <w:tblGrid>
        <w:gridCol w:w="10598"/>
      </w:tblGrid>
      <w:tr w:rsidR="00CF7D05" w:rsidRPr="000B0047" w14:paraId="2D6F6279" w14:textId="77777777" w:rsidTr="00ED46BD">
        <w:tc>
          <w:tcPr>
            <w:tcW w:w="10598" w:type="dxa"/>
            <w:shd w:val="clear" w:color="auto" w:fill="EDF6FB"/>
          </w:tcPr>
          <w:p w14:paraId="03E96FB7" w14:textId="77777777" w:rsidR="00CF7D05" w:rsidRPr="00190285" w:rsidRDefault="00CF7D05" w:rsidP="00CF7D05">
            <w:pPr>
              <w:pStyle w:val="TRAMES"/>
              <w:jc w:val="left"/>
            </w:pPr>
            <w:bookmarkStart w:id="2" w:name="_Toc140745059"/>
            <w:r w:rsidRPr="00190285">
              <w:t>Organisations syndicales</w:t>
            </w:r>
            <w:r w:rsidRPr="00190285">
              <w:rPr>
                <w:rStyle w:val="Appelnotedebasdep"/>
              </w:rPr>
              <w:footnoteReference w:id="1"/>
            </w:r>
            <w:bookmarkEnd w:id="2"/>
          </w:p>
        </w:tc>
      </w:tr>
      <w:tr w:rsidR="00CF7D05" w:rsidRPr="000B0047" w14:paraId="3183F5C7" w14:textId="77777777" w:rsidTr="00ED46BD">
        <w:trPr>
          <w:trHeight w:val="380"/>
        </w:trPr>
        <w:tc>
          <w:tcPr>
            <w:tcW w:w="10598" w:type="dxa"/>
            <w:vMerge w:val="restart"/>
            <w:shd w:val="clear" w:color="auto" w:fill="FFFFFF" w:themeFill="background1"/>
          </w:tcPr>
          <w:p w14:paraId="25218F21" w14:textId="77777777" w:rsidR="00CF7D05" w:rsidRDefault="00CF7D05" w:rsidP="00ED46BD">
            <w:pPr>
              <w:pStyle w:val="EFLnormal"/>
              <w:rPr>
                <w:rFonts w:cs="Tahoma"/>
                <w:sz w:val="20"/>
                <w:szCs w:val="20"/>
              </w:rPr>
            </w:pPr>
            <w:r w:rsidRPr="000B0047">
              <w:rPr>
                <w:rFonts w:cs="Tahoma"/>
                <w:sz w:val="20"/>
                <w:szCs w:val="20"/>
              </w:rPr>
              <w:t xml:space="preserve">La liste des organisations syndicales représentatives dans la branche d'activité dont relève notre entreprise et leurs adresses sont disponibles sur le site internet du Ministère du travail : </w:t>
            </w:r>
            <w:hyperlink r:id="rId8" w:history="1">
              <w:r w:rsidRPr="00FD795E">
                <w:rPr>
                  <w:rStyle w:val="Lienhypertexte"/>
                  <w:rFonts w:cs="Tahoma"/>
                  <w:sz w:val="20"/>
                  <w:szCs w:val="20"/>
                </w:rPr>
                <w:t>https://travail-emploi.gouv.fr/dialogue-social/la-representativite-syndicale-et-patronale/article/coordonnees-des-organisations-syndicales-de-salaries</w:t>
              </w:r>
            </w:hyperlink>
            <w:r>
              <w:rPr>
                <w:rFonts w:cs="Tahoma"/>
                <w:sz w:val="20"/>
                <w:szCs w:val="20"/>
              </w:rPr>
              <w:t xml:space="preserve"> </w:t>
            </w:r>
          </w:p>
          <w:p w14:paraId="137CB04B" w14:textId="77777777" w:rsidR="00CF7D05" w:rsidRPr="000B0047" w:rsidRDefault="00CF7D05" w:rsidP="00ED46BD">
            <w:pPr>
              <w:pStyle w:val="EFLnormal"/>
              <w:jc w:val="left"/>
              <w:rPr>
                <w:rFonts w:cs="Tahoma"/>
                <w:sz w:val="20"/>
                <w:szCs w:val="20"/>
              </w:rPr>
            </w:pPr>
            <w:r>
              <w:rPr>
                <w:rFonts w:cs="Tahoma"/>
                <w:sz w:val="20"/>
                <w:szCs w:val="20"/>
              </w:rPr>
              <w:t>L’IDCC applicable est le 3043.</w:t>
            </w:r>
            <w:r>
              <w:rPr>
                <w:rFonts w:cs="Tahoma"/>
                <w:sz w:val="20"/>
                <w:szCs w:val="20"/>
              </w:rPr>
              <w:br/>
            </w:r>
          </w:p>
        </w:tc>
      </w:tr>
      <w:tr w:rsidR="00CF7D05" w:rsidRPr="000B0047" w14:paraId="6599CE67" w14:textId="77777777" w:rsidTr="00ED46BD">
        <w:trPr>
          <w:trHeight w:val="380"/>
        </w:trPr>
        <w:tc>
          <w:tcPr>
            <w:tcW w:w="10598" w:type="dxa"/>
            <w:vMerge/>
            <w:shd w:val="clear" w:color="auto" w:fill="FFFFFF" w:themeFill="background1"/>
          </w:tcPr>
          <w:p w14:paraId="2E78A68A" w14:textId="77777777" w:rsidR="00CF7D05" w:rsidRPr="000B0047" w:rsidRDefault="00CF7D05" w:rsidP="00ED46BD">
            <w:pPr>
              <w:pStyle w:val="EFLnormal"/>
              <w:rPr>
                <w:rFonts w:cs="Tahoma"/>
                <w:sz w:val="20"/>
                <w:szCs w:val="20"/>
              </w:rPr>
            </w:pPr>
          </w:p>
        </w:tc>
      </w:tr>
      <w:tr w:rsidR="00CF7D05" w:rsidRPr="000B0047" w14:paraId="2E959B6C" w14:textId="77777777" w:rsidTr="00ED46BD">
        <w:trPr>
          <w:trHeight w:val="241"/>
        </w:trPr>
        <w:tc>
          <w:tcPr>
            <w:tcW w:w="10598" w:type="dxa"/>
            <w:vMerge/>
            <w:shd w:val="clear" w:color="auto" w:fill="FFFFFF" w:themeFill="background1"/>
          </w:tcPr>
          <w:p w14:paraId="58903031" w14:textId="77777777" w:rsidR="00CF7D05" w:rsidRPr="000B0047" w:rsidRDefault="00CF7D05" w:rsidP="00ED46BD">
            <w:pPr>
              <w:rPr>
                <w:rFonts w:cs="Tahoma"/>
                <w:szCs w:val="20"/>
              </w:rPr>
            </w:pPr>
          </w:p>
        </w:tc>
      </w:tr>
    </w:tbl>
    <w:p w14:paraId="595EE475" w14:textId="7295641E" w:rsidR="00CF7D05" w:rsidRDefault="00896929">
      <w:r>
        <w:br w:type="page"/>
      </w:r>
    </w:p>
    <w:p w14:paraId="1F9B808D" w14:textId="62FED174" w:rsidR="002E2B78" w:rsidRDefault="001475C7" w:rsidP="00CF7D05">
      <w:r>
        <w:lastRenderedPageBreak/>
        <w:br/>
      </w:r>
    </w:p>
    <w:p w14:paraId="2B5684C5" w14:textId="637ABD3B" w:rsidR="00146370" w:rsidRDefault="00D911FF" w:rsidP="002E2B78">
      <w:pPr>
        <w:pStyle w:val="Titre1"/>
      </w:pPr>
      <w:bookmarkStart w:id="3" w:name="_Toc148101827"/>
      <w:r>
        <w:t>ÉgalitÉ professionnelle et salariale entre les femmes et les hommes</w:t>
      </w:r>
      <w:bookmarkEnd w:id="3"/>
    </w:p>
    <w:p w14:paraId="5D4F1942" w14:textId="77777777" w:rsidR="001475C7" w:rsidRDefault="001475C7" w:rsidP="00146370"/>
    <w:p w14:paraId="1C9DA764" w14:textId="77777777" w:rsidR="002E2B78" w:rsidRDefault="002E2B78" w:rsidP="00146370"/>
    <w:tbl>
      <w:tblPr>
        <w:tblStyle w:val="Grilledutableau"/>
        <w:tblW w:w="10598" w:type="dxa"/>
        <w:tblLook w:val="04A0" w:firstRow="1" w:lastRow="0" w:firstColumn="1" w:lastColumn="0" w:noHBand="0" w:noVBand="1"/>
      </w:tblPr>
      <w:tblGrid>
        <w:gridCol w:w="10598"/>
      </w:tblGrid>
      <w:tr w:rsidR="00AB76BE" w:rsidRPr="000B0047" w14:paraId="5686A634" w14:textId="77777777" w:rsidTr="009B7B97">
        <w:tc>
          <w:tcPr>
            <w:tcW w:w="10598" w:type="dxa"/>
            <w:shd w:val="clear" w:color="auto" w:fill="EDF6FB"/>
          </w:tcPr>
          <w:p w14:paraId="2191195C" w14:textId="77777777" w:rsidR="00AB76BE" w:rsidRPr="000B0047" w:rsidRDefault="00AB76BE" w:rsidP="009B7B97">
            <w:pPr>
              <w:jc w:val="both"/>
              <w:rPr>
                <w:rFonts w:cs="Tahoma"/>
                <w:b/>
                <w:bCs/>
                <w:szCs w:val="20"/>
              </w:rPr>
            </w:pPr>
            <w:r w:rsidRPr="000B0047">
              <w:rPr>
                <w:rFonts w:cs="Tahoma"/>
                <w:b/>
                <w:bCs/>
                <w:szCs w:val="20"/>
              </w:rPr>
              <w:t xml:space="preserve">Articles L. 3221-1 à L. 32221-7 du code du Travail </w:t>
            </w:r>
          </w:p>
        </w:tc>
      </w:tr>
      <w:tr w:rsidR="00AB76BE" w:rsidRPr="000B0047" w14:paraId="05688101" w14:textId="77777777" w:rsidTr="00775387">
        <w:tc>
          <w:tcPr>
            <w:tcW w:w="10598" w:type="dxa"/>
            <w:shd w:val="clear" w:color="auto" w:fill="FFFFFF" w:themeFill="background1"/>
          </w:tcPr>
          <w:p w14:paraId="06A2F32F" w14:textId="3DD513FA" w:rsidR="00AB76BE" w:rsidRPr="000B0047" w:rsidRDefault="00AD432A" w:rsidP="009B7B97">
            <w:pPr>
              <w:jc w:val="both"/>
              <w:rPr>
                <w:rFonts w:cs="Tahoma"/>
                <w:b/>
                <w:bCs/>
                <w:szCs w:val="20"/>
              </w:rPr>
            </w:pPr>
            <w:r>
              <w:rPr>
                <w:rFonts w:cs="Tahoma"/>
                <w:b/>
                <w:bCs/>
                <w:szCs w:val="20"/>
              </w:rPr>
              <w:br/>
            </w:r>
            <w:r w:rsidR="00AB76BE" w:rsidRPr="000B0047">
              <w:rPr>
                <w:rFonts w:cs="Tahoma"/>
                <w:b/>
                <w:bCs/>
                <w:szCs w:val="20"/>
              </w:rPr>
              <w:t>Article L. 3221-1</w:t>
            </w:r>
          </w:p>
          <w:p w14:paraId="345800D5" w14:textId="77777777" w:rsidR="00AB76BE" w:rsidRPr="000B0047" w:rsidRDefault="00AB76BE" w:rsidP="009B7B97">
            <w:pPr>
              <w:jc w:val="both"/>
              <w:rPr>
                <w:rFonts w:cs="Tahoma"/>
                <w:szCs w:val="20"/>
              </w:rPr>
            </w:pPr>
            <w:r w:rsidRPr="000B0047">
              <w:rPr>
                <w:rFonts w:cs="Tahoma"/>
                <w:szCs w:val="20"/>
              </w:rPr>
              <w:t>Les dispositions des articles L. 3221-2 à L. 3221-7 sont applicables, outre aux employeurs et salariés mentionnés à l'article L. 3211-1, à ceux non régis par le Code du travail et, notamment, aux agents de droit public.</w:t>
            </w:r>
          </w:p>
          <w:p w14:paraId="2F24AC0B" w14:textId="77777777" w:rsidR="00AB76BE" w:rsidRPr="000B0047" w:rsidRDefault="00AB76BE" w:rsidP="009B7B97">
            <w:pPr>
              <w:jc w:val="both"/>
              <w:rPr>
                <w:rFonts w:cs="Tahoma"/>
                <w:szCs w:val="20"/>
              </w:rPr>
            </w:pPr>
          </w:p>
          <w:p w14:paraId="2CE8F278" w14:textId="77777777" w:rsidR="00AB76BE" w:rsidRPr="000B0047" w:rsidRDefault="00AB76BE" w:rsidP="009B7B97">
            <w:pPr>
              <w:jc w:val="both"/>
              <w:rPr>
                <w:rFonts w:cs="Tahoma"/>
                <w:b/>
                <w:bCs/>
                <w:szCs w:val="20"/>
              </w:rPr>
            </w:pPr>
            <w:r w:rsidRPr="000B0047">
              <w:rPr>
                <w:rFonts w:cs="Tahoma"/>
                <w:b/>
                <w:bCs/>
                <w:szCs w:val="20"/>
              </w:rPr>
              <w:t>Article L. 3221-2</w:t>
            </w:r>
          </w:p>
          <w:p w14:paraId="7FAAC294" w14:textId="77777777" w:rsidR="00AB76BE" w:rsidRPr="000B0047" w:rsidRDefault="00AB76BE" w:rsidP="009B7B97">
            <w:pPr>
              <w:jc w:val="both"/>
              <w:rPr>
                <w:rFonts w:cs="Tahoma"/>
                <w:szCs w:val="20"/>
              </w:rPr>
            </w:pPr>
            <w:r w:rsidRPr="000B0047">
              <w:rPr>
                <w:rFonts w:cs="Tahoma"/>
                <w:szCs w:val="20"/>
              </w:rPr>
              <w:t>Tout employeur assure, pour un même travail ou pour un travail de valeur égale, l'égalité de rémunération entre les femmes et les hommes.</w:t>
            </w:r>
          </w:p>
          <w:p w14:paraId="54F79190" w14:textId="77777777" w:rsidR="00AB76BE" w:rsidRPr="000B0047" w:rsidRDefault="00AB76BE" w:rsidP="009B7B97">
            <w:pPr>
              <w:jc w:val="both"/>
              <w:rPr>
                <w:rFonts w:cs="Tahoma"/>
                <w:szCs w:val="20"/>
              </w:rPr>
            </w:pPr>
          </w:p>
          <w:p w14:paraId="38982D6F" w14:textId="77777777" w:rsidR="00AB76BE" w:rsidRPr="000B0047" w:rsidRDefault="00AB76BE" w:rsidP="009B7B97">
            <w:pPr>
              <w:jc w:val="both"/>
              <w:rPr>
                <w:rFonts w:cs="Tahoma"/>
                <w:b/>
                <w:bCs/>
                <w:szCs w:val="20"/>
              </w:rPr>
            </w:pPr>
            <w:r w:rsidRPr="000B0047">
              <w:rPr>
                <w:rFonts w:cs="Tahoma"/>
                <w:b/>
                <w:bCs/>
                <w:szCs w:val="20"/>
              </w:rPr>
              <w:t>Article L. 3221-3</w:t>
            </w:r>
          </w:p>
          <w:p w14:paraId="4113D949" w14:textId="77777777" w:rsidR="00AB76BE" w:rsidRPr="000B0047" w:rsidRDefault="00AB76BE" w:rsidP="009B7B97">
            <w:pPr>
              <w:jc w:val="both"/>
              <w:rPr>
                <w:rFonts w:cs="Tahoma"/>
                <w:szCs w:val="20"/>
              </w:rPr>
            </w:pPr>
            <w:r w:rsidRPr="000B0047">
              <w:rPr>
                <w:rFonts w:cs="Tahoma"/>
                <w:szCs w:val="20"/>
              </w:rPr>
              <w:t>Constitue une rémunération au sens du présent chapitre, le salaire ou traitement ordinaire de base ou minimum et tous les autres avantages et accessoires payés, directement ou indirectement, en espèces ou en nature, par l'employeur au salarié en raison de l'emploi de ce dernier.</w:t>
            </w:r>
          </w:p>
          <w:p w14:paraId="318396D1" w14:textId="77777777" w:rsidR="00AB76BE" w:rsidRPr="000B0047" w:rsidRDefault="00AB76BE" w:rsidP="009B7B97">
            <w:pPr>
              <w:jc w:val="both"/>
              <w:rPr>
                <w:rFonts w:cs="Tahoma"/>
                <w:szCs w:val="20"/>
              </w:rPr>
            </w:pPr>
          </w:p>
          <w:p w14:paraId="203DACD7" w14:textId="77777777" w:rsidR="00AB76BE" w:rsidRPr="000B0047" w:rsidRDefault="00AB76BE" w:rsidP="009B7B97">
            <w:pPr>
              <w:jc w:val="both"/>
              <w:rPr>
                <w:rFonts w:cs="Tahoma"/>
                <w:szCs w:val="20"/>
              </w:rPr>
            </w:pPr>
            <w:r w:rsidRPr="000B0047">
              <w:rPr>
                <w:rFonts w:cs="Tahoma"/>
                <w:b/>
                <w:bCs/>
                <w:szCs w:val="20"/>
              </w:rPr>
              <w:t>Article L. 3221-4</w:t>
            </w:r>
          </w:p>
          <w:p w14:paraId="791C7092" w14:textId="77777777" w:rsidR="00AB76BE" w:rsidRPr="000B0047" w:rsidRDefault="00AB76BE" w:rsidP="009B7B97">
            <w:pPr>
              <w:jc w:val="both"/>
              <w:rPr>
                <w:rFonts w:cs="Tahoma"/>
                <w:szCs w:val="20"/>
              </w:rPr>
            </w:pPr>
            <w:r w:rsidRPr="000B0047">
              <w:rPr>
                <w:rFonts w:cs="Tahoma"/>
                <w:szCs w:val="20"/>
              </w:rPr>
              <w:t>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14:paraId="53178148" w14:textId="77777777" w:rsidR="00AB76BE" w:rsidRPr="000B0047" w:rsidRDefault="00AB76BE" w:rsidP="009B7B97">
            <w:pPr>
              <w:jc w:val="both"/>
              <w:rPr>
                <w:rFonts w:cs="Tahoma"/>
                <w:b/>
                <w:bCs/>
                <w:szCs w:val="20"/>
              </w:rPr>
            </w:pPr>
          </w:p>
          <w:p w14:paraId="47C784E4" w14:textId="77777777" w:rsidR="00AB76BE" w:rsidRPr="000B0047" w:rsidRDefault="00AB76BE" w:rsidP="009B7B97">
            <w:pPr>
              <w:jc w:val="both"/>
              <w:rPr>
                <w:rFonts w:cs="Tahoma"/>
                <w:szCs w:val="20"/>
              </w:rPr>
            </w:pPr>
            <w:r w:rsidRPr="000B0047">
              <w:rPr>
                <w:rFonts w:cs="Tahoma"/>
                <w:b/>
                <w:bCs/>
                <w:szCs w:val="20"/>
              </w:rPr>
              <w:t>Article L. 3221-5</w:t>
            </w:r>
          </w:p>
          <w:p w14:paraId="4C420195" w14:textId="77777777" w:rsidR="00AB76BE" w:rsidRPr="000B0047" w:rsidRDefault="00AB76BE" w:rsidP="009B7B97">
            <w:pPr>
              <w:jc w:val="both"/>
              <w:rPr>
                <w:rFonts w:cs="Tahoma"/>
                <w:szCs w:val="20"/>
              </w:rPr>
            </w:pPr>
            <w:r w:rsidRPr="000B0047">
              <w:rPr>
                <w:rFonts w:cs="Tahoma"/>
                <w:szCs w:val="20"/>
              </w:rPr>
              <w:t>Les disparités de rémunération entre les établissements d'une même entreprise ne peuvent pas, pour un même travail ou pour un travail de valeur égale, être fondées sur l'appartenance des salariés de ces établissements à l'un ou l'autre sexe.</w:t>
            </w:r>
          </w:p>
          <w:p w14:paraId="1B439A68" w14:textId="77777777" w:rsidR="00AB76BE" w:rsidRPr="000B0047" w:rsidRDefault="00AB76BE" w:rsidP="009B7B97">
            <w:pPr>
              <w:jc w:val="both"/>
              <w:rPr>
                <w:rFonts w:cs="Tahoma"/>
                <w:b/>
                <w:bCs/>
                <w:szCs w:val="20"/>
              </w:rPr>
            </w:pPr>
          </w:p>
          <w:p w14:paraId="0B874321" w14:textId="77777777" w:rsidR="00AB76BE" w:rsidRPr="000B0047" w:rsidRDefault="00AB76BE" w:rsidP="009B7B97">
            <w:pPr>
              <w:jc w:val="both"/>
              <w:rPr>
                <w:rFonts w:cs="Tahoma"/>
                <w:szCs w:val="20"/>
              </w:rPr>
            </w:pPr>
            <w:r w:rsidRPr="000B0047">
              <w:rPr>
                <w:rFonts w:cs="Tahoma"/>
                <w:b/>
                <w:bCs/>
                <w:szCs w:val="20"/>
              </w:rPr>
              <w:t>Article L. 3221-6</w:t>
            </w:r>
          </w:p>
          <w:p w14:paraId="5F26F711" w14:textId="77777777" w:rsidR="00AB76BE" w:rsidRPr="000B0047" w:rsidRDefault="00AB76BE" w:rsidP="009B7B97">
            <w:pPr>
              <w:jc w:val="both"/>
              <w:rPr>
                <w:rFonts w:cs="Tahoma"/>
                <w:szCs w:val="20"/>
              </w:rPr>
            </w:pPr>
            <w:r w:rsidRPr="000B0047">
              <w:rPr>
                <w:rFonts w:cs="Tahoma"/>
                <w:szCs w:val="20"/>
              </w:rPr>
              <w:t>Les différents éléments composant la rémunération sont établis selon des normes identiques pour les femmes et pour les hommes.</w:t>
            </w:r>
          </w:p>
          <w:p w14:paraId="74E13C36" w14:textId="77777777" w:rsidR="00AB76BE" w:rsidRPr="000B0047" w:rsidRDefault="00AB76BE" w:rsidP="009B7B97">
            <w:pPr>
              <w:jc w:val="both"/>
              <w:rPr>
                <w:rFonts w:cs="Tahoma"/>
                <w:szCs w:val="20"/>
              </w:rPr>
            </w:pPr>
            <w:r w:rsidRPr="000B0047">
              <w:rPr>
                <w:rFonts w:cs="Tahoma"/>
                <w:szCs w:val="20"/>
              </w:rPr>
              <w:t>Les catégories et les critères de classification et de promotions professionnelles ainsi que toutes les autres bases de calcul de la rémunération, notamment les modes d'évaluation des emplois, sont établis selon des règles qui assurent l'application du principe fixé à l'article L. 3221-2.</w:t>
            </w:r>
          </w:p>
          <w:p w14:paraId="7FCFD92D" w14:textId="77777777" w:rsidR="00AB76BE" w:rsidRPr="000B0047" w:rsidRDefault="00AB76BE" w:rsidP="009B7B97">
            <w:pPr>
              <w:jc w:val="both"/>
              <w:rPr>
                <w:rFonts w:cs="Tahoma"/>
                <w:b/>
                <w:bCs/>
                <w:szCs w:val="20"/>
              </w:rPr>
            </w:pPr>
          </w:p>
          <w:p w14:paraId="63CB9366" w14:textId="77777777" w:rsidR="00AB76BE" w:rsidRPr="000B0047" w:rsidRDefault="00AB76BE" w:rsidP="009B7B97">
            <w:pPr>
              <w:jc w:val="both"/>
              <w:rPr>
                <w:rFonts w:cs="Tahoma"/>
                <w:b/>
                <w:bCs/>
                <w:szCs w:val="20"/>
              </w:rPr>
            </w:pPr>
            <w:r w:rsidRPr="000B0047">
              <w:rPr>
                <w:rFonts w:cs="Tahoma"/>
                <w:b/>
                <w:bCs/>
                <w:szCs w:val="20"/>
              </w:rPr>
              <w:t>Article L. 3221-7</w:t>
            </w:r>
          </w:p>
          <w:p w14:paraId="13E29A3B" w14:textId="77777777" w:rsidR="00AB76BE" w:rsidRPr="000B0047" w:rsidRDefault="00AB76BE" w:rsidP="009B7B97">
            <w:pPr>
              <w:jc w:val="both"/>
              <w:rPr>
                <w:rFonts w:cs="Tahoma"/>
                <w:szCs w:val="20"/>
              </w:rPr>
            </w:pPr>
            <w:r w:rsidRPr="000B0047">
              <w:rPr>
                <w:rFonts w:cs="Tahoma"/>
                <w:szCs w:val="20"/>
              </w:rPr>
              <w:t>Est nulle de plein droit toute disposition figurant notamment dans un contrat de travail, une convention ou accord collectif de travail, un accord de salaires, un règlement ou barème de salaires résultant d'une décision d'un employeur ou d'un groupement d'employeurs et qui, contrairement aux articles L. 3221-2 à L. 3221-6, comporte, pour un ou des salariés de l'un des deux sexes, une rémunération inférieure à celle de salariés de l'autre sexe pour un même travail ou un travail de valeur égale.</w:t>
            </w:r>
          </w:p>
          <w:p w14:paraId="77438BAB" w14:textId="77777777" w:rsidR="00AB76BE" w:rsidRPr="000B0047" w:rsidRDefault="00AB76BE" w:rsidP="009B7B97">
            <w:pPr>
              <w:jc w:val="both"/>
              <w:rPr>
                <w:rFonts w:cs="Tahoma"/>
                <w:szCs w:val="20"/>
              </w:rPr>
            </w:pPr>
            <w:r w:rsidRPr="000B0047">
              <w:rPr>
                <w:rFonts w:cs="Tahoma"/>
                <w:szCs w:val="20"/>
              </w:rPr>
              <w:t>La rémunération plus élevée dont bénéficient ces derniers salariés est substituée de plein droit à celle que comportait la disposition entachée de nullité.</w:t>
            </w:r>
          </w:p>
          <w:p w14:paraId="75520ED6" w14:textId="77777777" w:rsidR="00AB76BE" w:rsidRPr="000B0047" w:rsidRDefault="00AB76BE" w:rsidP="009B7B97">
            <w:pPr>
              <w:jc w:val="both"/>
              <w:rPr>
                <w:rFonts w:cs="Tahoma"/>
                <w:b/>
                <w:bCs/>
                <w:szCs w:val="20"/>
              </w:rPr>
            </w:pPr>
          </w:p>
          <w:p w14:paraId="68102159" w14:textId="77777777" w:rsidR="00AB76BE" w:rsidRPr="000B0047" w:rsidRDefault="00AB76BE" w:rsidP="009B7B97">
            <w:pPr>
              <w:jc w:val="both"/>
              <w:rPr>
                <w:rFonts w:cs="Tahoma"/>
                <w:szCs w:val="20"/>
              </w:rPr>
            </w:pPr>
            <w:r w:rsidRPr="000B0047">
              <w:rPr>
                <w:rFonts w:cs="Tahoma"/>
                <w:b/>
                <w:bCs/>
                <w:szCs w:val="20"/>
              </w:rPr>
              <w:t>Article R. 3221-1</w:t>
            </w:r>
          </w:p>
          <w:p w14:paraId="4DDC4C0A" w14:textId="77777777" w:rsidR="00AB76BE" w:rsidRPr="000B0047" w:rsidRDefault="00AB76BE" w:rsidP="009B7B97">
            <w:pPr>
              <w:jc w:val="both"/>
              <w:rPr>
                <w:rFonts w:cs="Tahoma"/>
                <w:szCs w:val="20"/>
              </w:rPr>
            </w:pPr>
            <w:r w:rsidRPr="000B0047">
              <w:rPr>
                <w:rFonts w:cs="Tahoma"/>
                <w:szCs w:val="20"/>
              </w:rPr>
              <w:t>L'agent de contrôle de l'inspection du travail peut exiger communication des différents éléments qui concourent à la détermination des rémunérations dans l'entreprise, notamment des normes, catégories, critères et bases de calcul mentionnés à l'article L. 3221-6.</w:t>
            </w:r>
          </w:p>
          <w:p w14:paraId="175E0D60" w14:textId="77777777" w:rsidR="00AB76BE" w:rsidRPr="000B0047" w:rsidRDefault="00AB76BE" w:rsidP="009B7B97">
            <w:pPr>
              <w:jc w:val="both"/>
              <w:rPr>
                <w:rFonts w:cs="Tahoma"/>
                <w:szCs w:val="20"/>
              </w:rPr>
            </w:pPr>
            <w:r w:rsidRPr="000B0047">
              <w:rPr>
                <w:rFonts w:cs="Tahoma"/>
                <w:szCs w:val="20"/>
              </w:rPr>
              <w:t>Il peut procéder à une enquête contradictoire au cours de laquelle l'employeur et les salariés intéressés peuvent se faire assister d'une personne de leur choix.</w:t>
            </w:r>
          </w:p>
          <w:p w14:paraId="0E33EB61" w14:textId="77777777" w:rsidR="00AB76BE" w:rsidRPr="000B0047" w:rsidRDefault="00AB76BE" w:rsidP="009B7B97">
            <w:pPr>
              <w:jc w:val="both"/>
              <w:rPr>
                <w:rFonts w:cs="Tahoma"/>
                <w:szCs w:val="20"/>
              </w:rPr>
            </w:pPr>
            <w:r w:rsidRPr="000B0047">
              <w:rPr>
                <w:rFonts w:cs="Tahoma"/>
                <w:szCs w:val="20"/>
              </w:rPr>
              <w:t>En cas de mise en œuvre d'une procédure de règlement des difficultés dans les conditions prévues à l'article R. 2261-1, il prend connaissance des avis et observations formulés au cours de celle-ci.</w:t>
            </w:r>
          </w:p>
          <w:p w14:paraId="78D990FF" w14:textId="77777777" w:rsidR="00AB76BE" w:rsidRPr="000B0047" w:rsidRDefault="00AB76BE" w:rsidP="009B7B97">
            <w:pPr>
              <w:jc w:val="both"/>
              <w:rPr>
                <w:rFonts w:cs="Tahoma"/>
                <w:b/>
                <w:bCs/>
                <w:szCs w:val="20"/>
              </w:rPr>
            </w:pPr>
          </w:p>
          <w:p w14:paraId="4D9C7FA5" w14:textId="77777777" w:rsidR="00AB76BE" w:rsidRPr="000B0047" w:rsidRDefault="00AB76BE" w:rsidP="009B7B97">
            <w:pPr>
              <w:jc w:val="both"/>
              <w:rPr>
                <w:rFonts w:cs="Tahoma"/>
                <w:szCs w:val="20"/>
              </w:rPr>
            </w:pPr>
            <w:r w:rsidRPr="000B0047">
              <w:rPr>
                <w:rFonts w:cs="Tahoma"/>
                <w:b/>
                <w:bCs/>
                <w:szCs w:val="20"/>
              </w:rPr>
              <w:t>Article R. 3221-2</w:t>
            </w:r>
          </w:p>
          <w:p w14:paraId="07D9C445" w14:textId="77777777" w:rsidR="00AB76BE" w:rsidRPr="000B0047" w:rsidRDefault="00AB76BE" w:rsidP="009B7B97">
            <w:pPr>
              <w:jc w:val="both"/>
              <w:rPr>
                <w:rFonts w:cs="Tahoma"/>
                <w:szCs w:val="20"/>
              </w:rPr>
            </w:pPr>
            <w:r w:rsidRPr="000B0047">
              <w:rPr>
                <w:rFonts w:cs="Tahoma"/>
                <w:szCs w:val="20"/>
              </w:rPr>
              <w:t>Les dispositions des articles L. 3221-1 à L. 3221-7 du Code du travail sont portées, par tout moyen, à la connaissance des personnes ayant accès aux lieux de travail, ainsi qu'aux candidats à l'embauche.</w:t>
            </w:r>
          </w:p>
          <w:p w14:paraId="484B510D" w14:textId="515CEE2C" w:rsidR="00AB76BE" w:rsidRDefault="00AB76BE" w:rsidP="009B7B97">
            <w:pPr>
              <w:jc w:val="both"/>
              <w:rPr>
                <w:rFonts w:cs="Tahoma"/>
                <w:szCs w:val="20"/>
              </w:rPr>
            </w:pPr>
            <w:r w:rsidRPr="000B0047">
              <w:rPr>
                <w:rFonts w:cs="Tahoma"/>
                <w:szCs w:val="20"/>
              </w:rPr>
              <w:t>Il en est de même pour les dispositions réglementaires pris pour l'application de ces articles.</w:t>
            </w:r>
          </w:p>
          <w:p w14:paraId="0C712C3A" w14:textId="77777777" w:rsidR="00AB76BE" w:rsidRDefault="00AB76BE" w:rsidP="009B7B97">
            <w:pPr>
              <w:jc w:val="both"/>
              <w:rPr>
                <w:rFonts w:cs="Tahoma"/>
                <w:b/>
                <w:bCs/>
                <w:szCs w:val="20"/>
              </w:rPr>
            </w:pPr>
          </w:p>
          <w:p w14:paraId="692E1E2E" w14:textId="77777777" w:rsidR="002E2B78" w:rsidRDefault="002E2B78" w:rsidP="009B7B97">
            <w:pPr>
              <w:jc w:val="both"/>
              <w:rPr>
                <w:rFonts w:cs="Tahoma"/>
                <w:b/>
                <w:bCs/>
                <w:szCs w:val="20"/>
              </w:rPr>
            </w:pPr>
          </w:p>
          <w:p w14:paraId="688645B6" w14:textId="77777777" w:rsidR="002E2B78" w:rsidRPr="000B0047" w:rsidRDefault="002E2B78" w:rsidP="009B7B97">
            <w:pPr>
              <w:jc w:val="both"/>
              <w:rPr>
                <w:rFonts w:cs="Tahoma"/>
                <w:b/>
                <w:bCs/>
                <w:szCs w:val="20"/>
              </w:rPr>
            </w:pPr>
          </w:p>
          <w:p w14:paraId="6CBA7200" w14:textId="77777777" w:rsidR="00AB76BE" w:rsidRPr="000B0047" w:rsidRDefault="00AB76BE" w:rsidP="009B7B97">
            <w:pPr>
              <w:jc w:val="both"/>
              <w:rPr>
                <w:rFonts w:cs="Tahoma"/>
                <w:b/>
                <w:bCs/>
                <w:szCs w:val="20"/>
              </w:rPr>
            </w:pPr>
            <w:r w:rsidRPr="000B0047">
              <w:rPr>
                <w:rFonts w:cs="Tahoma"/>
                <w:b/>
                <w:bCs/>
                <w:szCs w:val="20"/>
              </w:rPr>
              <w:lastRenderedPageBreak/>
              <w:t>Article R. 3222-1</w:t>
            </w:r>
          </w:p>
          <w:p w14:paraId="47B46E66" w14:textId="77777777" w:rsidR="00AB76BE" w:rsidRPr="000B0047" w:rsidRDefault="00AB76BE" w:rsidP="009B7B97">
            <w:pPr>
              <w:jc w:val="both"/>
              <w:rPr>
                <w:rFonts w:cs="Tahoma"/>
                <w:szCs w:val="20"/>
              </w:rPr>
            </w:pPr>
            <w:r w:rsidRPr="000B0047">
              <w:rPr>
                <w:rFonts w:cs="Tahoma"/>
                <w:szCs w:val="20"/>
              </w:rPr>
              <w:t>Le fait de méconnaître les dispositions relatives à l'égalité de rémunération entre les femmes et les hommes prévues aux articles L. 3221-2 à L. 3221-6, est puni de l'amende prévue pour les contraventions de la cinquième classe.</w:t>
            </w:r>
          </w:p>
          <w:p w14:paraId="6FFC1764" w14:textId="77777777" w:rsidR="00AB76BE" w:rsidRPr="000B0047" w:rsidRDefault="00AB76BE" w:rsidP="009B7B97">
            <w:pPr>
              <w:jc w:val="both"/>
              <w:rPr>
                <w:rFonts w:cs="Tahoma"/>
                <w:szCs w:val="20"/>
              </w:rPr>
            </w:pPr>
            <w:r w:rsidRPr="000B0047">
              <w:rPr>
                <w:rFonts w:cs="Tahoma"/>
                <w:szCs w:val="20"/>
              </w:rPr>
              <w:t>L'amende est appliquée autant de fois qu'il y a de travailleurs rémunérés dans des conditions illégales.</w:t>
            </w:r>
          </w:p>
          <w:p w14:paraId="351A5D73" w14:textId="77777777" w:rsidR="00AB76BE" w:rsidRPr="000B0047" w:rsidRDefault="00AB76BE" w:rsidP="009B7B97">
            <w:pPr>
              <w:jc w:val="both"/>
              <w:rPr>
                <w:rFonts w:cs="Tahoma"/>
                <w:szCs w:val="20"/>
              </w:rPr>
            </w:pPr>
            <w:r w:rsidRPr="000B0047">
              <w:rPr>
                <w:rFonts w:cs="Tahoma"/>
                <w:szCs w:val="20"/>
              </w:rPr>
              <w:t>La récidive est réprimée conformément aux articles 132-11 et 132-15 du Code pénal.</w:t>
            </w:r>
          </w:p>
          <w:p w14:paraId="4F7FE403" w14:textId="77777777" w:rsidR="00AB76BE" w:rsidRPr="000B0047" w:rsidRDefault="00AB76BE" w:rsidP="009B7B97">
            <w:pPr>
              <w:jc w:val="both"/>
              <w:rPr>
                <w:rFonts w:cs="Tahoma"/>
                <w:b/>
                <w:bCs/>
                <w:szCs w:val="20"/>
              </w:rPr>
            </w:pPr>
          </w:p>
          <w:p w14:paraId="785B1BC1" w14:textId="77777777" w:rsidR="00AB76BE" w:rsidRPr="000B0047" w:rsidRDefault="00AB76BE" w:rsidP="009B7B97">
            <w:pPr>
              <w:jc w:val="both"/>
              <w:rPr>
                <w:rFonts w:cs="Tahoma"/>
                <w:b/>
                <w:bCs/>
                <w:szCs w:val="20"/>
              </w:rPr>
            </w:pPr>
            <w:r w:rsidRPr="000B0047">
              <w:rPr>
                <w:rFonts w:cs="Tahoma"/>
                <w:b/>
                <w:bCs/>
                <w:szCs w:val="20"/>
              </w:rPr>
              <w:t>Article R. 3222-2</w:t>
            </w:r>
          </w:p>
          <w:p w14:paraId="5A44C50E" w14:textId="77777777" w:rsidR="00AB76BE" w:rsidRPr="000B0047" w:rsidRDefault="00AB76BE" w:rsidP="009B7B97">
            <w:pPr>
              <w:jc w:val="both"/>
              <w:rPr>
                <w:rFonts w:cs="Tahoma"/>
                <w:szCs w:val="20"/>
              </w:rPr>
            </w:pPr>
            <w:r w:rsidRPr="000B0047">
              <w:rPr>
                <w:rFonts w:cs="Tahoma"/>
                <w:szCs w:val="20"/>
              </w:rPr>
              <w:t>Le fait de ne pas communiquer les éléments concourant à la détermination des rémunérations dans l'entreprise, en méconnaissance des dispositions de l'article R. 3221-1, est puni de l'amende prévue pour les contraventions de la troisième classe.</w:t>
            </w:r>
          </w:p>
          <w:p w14:paraId="1B48935D" w14:textId="77777777" w:rsidR="00AB76BE" w:rsidRPr="000B0047" w:rsidRDefault="00AB76BE" w:rsidP="009B7B97">
            <w:pPr>
              <w:jc w:val="both"/>
              <w:rPr>
                <w:rFonts w:cs="Tahoma"/>
                <w:szCs w:val="20"/>
              </w:rPr>
            </w:pPr>
          </w:p>
          <w:p w14:paraId="4A4A1221" w14:textId="77777777" w:rsidR="00AB76BE" w:rsidRPr="000B0047" w:rsidRDefault="00AB76BE" w:rsidP="009B7B97">
            <w:pPr>
              <w:jc w:val="both"/>
              <w:rPr>
                <w:rFonts w:cs="Tahoma"/>
                <w:b/>
                <w:bCs/>
                <w:szCs w:val="20"/>
              </w:rPr>
            </w:pPr>
            <w:r w:rsidRPr="000B0047">
              <w:rPr>
                <w:rFonts w:cs="Tahoma"/>
                <w:b/>
                <w:bCs/>
                <w:szCs w:val="20"/>
              </w:rPr>
              <w:t xml:space="preserve">Article R. 3222-3 </w:t>
            </w:r>
          </w:p>
          <w:p w14:paraId="16A6506F" w14:textId="70D5E06B" w:rsidR="00AB76BE" w:rsidRPr="000B0047" w:rsidRDefault="00AB76BE" w:rsidP="009B7B97">
            <w:pPr>
              <w:jc w:val="both"/>
              <w:rPr>
                <w:rFonts w:cs="Tahoma"/>
                <w:b/>
                <w:bCs/>
                <w:szCs w:val="20"/>
              </w:rPr>
            </w:pPr>
            <w:r w:rsidRPr="000B0047">
              <w:rPr>
                <w:rFonts w:cs="Tahoma"/>
                <w:szCs w:val="20"/>
              </w:rPr>
              <w:t>Le fait de ne pas communiquer, dans les conditions prévues par l'article R. 3221-2, les articles relatifs à l'égalité de rémunération entre les femmes et les hommes, est puni de l'amende prévue pour les contraventions de troisième classe.</w:t>
            </w:r>
            <w:r w:rsidR="00CF7D05">
              <w:rPr>
                <w:rFonts w:cs="Tahoma"/>
                <w:szCs w:val="20"/>
              </w:rPr>
              <w:br/>
            </w:r>
          </w:p>
        </w:tc>
      </w:tr>
    </w:tbl>
    <w:p w14:paraId="3DF4B89C" w14:textId="5D0DC709" w:rsidR="008867FC" w:rsidRDefault="008867FC" w:rsidP="00146370">
      <w:r>
        <w:lastRenderedPageBreak/>
        <w:br/>
      </w:r>
    </w:p>
    <w:p w14:paraId="749986CC" w14:textId="77777777" w:rsidR="008867FC" w:rsidRDefault="008867FC">
      <w:r>
        <w:br w:type="page"/>
      </w:r>
    </w:p>
    <w:p w14:paraId="6B4BFBF5" w14:textId="33596ABD" w:rsidR="00AB76BE" w:rsidRDefault="008867FC" w:rsidP="008867FC">
      <w:pPr>
        <w:pStyle w:val="Titre1"/>
      </w:pPr>
      <w:bookmarkStart w:id="4" w:name="_Toc148101828"/>
      <w:r>
        <w:lastRenderedPageBreak/>
        <w:t>H</w:t>
      </w:r>
      <w:r w:rsidR="002E2B78">
        <w:t>arcelement moral</w:t>
      </w:r>
      <w:bookmarkEnd w:id="4"/>
    </w:p>
    <w:p w14:paraId="0A797C48" w14:textId="77777777" w:rsidR="00AB76BE" w:rsidRDefault="00AB76BE" w:rsidP="00146370"/>
    <w:tbl>
      <w:tblPr>
        <w:tblStyle w:val="Grilledutableau"/>
        <w:tblW w:w="10598" w:type="dxa"/>
        <w:tblLook w:val="04A0" w:firstRow="1" w:lastRow="0" w:firstColumn="1" w:lastColumn="0" w:noHBand="0" w:noVBand="1"/>
      </w:tblPr>
      <w:tblGrid>
        <w:gridCol w:w="10598"/>
      </w:tblGrid>
      <w:tr w:rsidR="00F41843" w:rsidRPr="000B0047" w14:paraId="798CCB7D" w14:textId="77777777" w:rsidTr="00D81C6A">
        <w:tc>
          <w:tcPr>
            <w:tcW w:w="10598" w:type="dxa"/>
            <w:shd w:val="clear" w:color="auto" w:fill="EDF6FB"/>
          </w:tcPr>
          <w:p w14:paraId="7412351F" w14:textId="77777777" w:rsidR="00F41843" w:rsidRPr="000B0047" w:rsidRDefault="00F41843" w:rsidP="00D81C6A">
            <w:pPr>
              <w:jc w:val="both"/>
              <w:rPr>
                <w:rFonts w:cs="Tahoma"/>
                <w:b/>
                <w:bCs/>
                <w:szCs w:val="20"/>
              </w:rPr>
            </w:pPr>
            <w:r w:rsidRPr="000B0047">
              <w:rPr>
                <w:rFonts w:cs="Tahoma"/>
                <w:b/>
                <w:bCs/>
                <w:szCs w:val="20"/>
              </w:rPr>
              <w:t xml:space="preserve">Harcèlement moral </w:t>
            </w:r>
          </w:p>
        </w:tc>
      </w:tr>
      <w:tr w:rsidR="00F41843" w:rsidRPr="000B0047" w14:paraId="6707CB1D" w14:textId="77777777" w:rsidTr="001275BC">
        <w:tc>
          <w:tcPr>
            <w:tcW w:w="10598" w:type="dxa"/>
            <w:shd w:val="clear" w:color="auto" w:fill="FFFFFF" w:themeFill="background1"/>
          </w:tcPr>
          <w:p w14:paraId="3164B4D8" w14:textId="77777777" w:rsidR="006140B9" w:rsidRDefault="006140B9" w:rsidP="00D81C6A">
            <w:pPr>
              <w:jc w:val="both"/>
              <w:rPr>
                <w:rFonts w:cs="Tahoma"/>
                <w:b/>
                <w:bCs/>
                <w:szCs w:val="20"/>
              </w:rPr>
            </w:pPr>
          </w:p>
          <w:p w14:paraId="29676389" w14:textId="27EFB0F7" w:rsidR="00F41843" w:rsidRPr="000B0047" w:rsidRDefault="00F41843" w:rsidP="00D81C6A">
            <w:pPr>
              <w:jc w:val="both"/>
              <w:rPr>
                <w:rFonts w:cs="Tahoma"/>
                <w:b/>
                <w:bCs/>
                <w:szCs w:val="20"/>
              </w:rPr>
            </w:pPr>
            <w:r w:rsidRPr="000B0047">
              <w:rPr>
                <w:rFonts w:cs="Tahoma"/>
                <w:b/>
                <w:bCs/>
                <w:szCs w:val="20"/>
              </w:rPr>
              <w:t>Article 222-33-2-2 du code pénal</w:t>
            </w:r>
          </w:p>
          <w:p w14:paraId="7E62529C" w14:textId="77777777" w:rsidR="00F41843" w:rsidRPr="000B0047" w:rsidRDefault="00F41843" w:rsidP="00D81C6A">
            <w:pPr>
              <w:jc w:val="both"/>
              <w:rPr>
                <w:rFonts w:cs="Tahoma"/>
                <w:szCs w:val="20"/>
              </w:rPr>
            </w:pPr>
            <w:r w:rsidRPr="000B0047">
              <w:rPr>
                <w:rFonts w:cs="Tahoma"/>
                <w:szCs w:val="20"/>
              </w:rPr>
              <w:t>Le fait de harceler une personne par des propos ou comportements répétés ayant pour objet ou pour effet une dégradation de ses conditions de vie se traduisant par une altération de sa santé physique ou mentale est puni d'un an d'emprisonnement et de 15 000 € d'amende lorsque ces faits ont causé une incapacité totale de travail inférieure ou égale à huit jours ou n'ont entraîné aucune incapacité de travail.</w:t>
            </w:r>
          </w:p>
          <w:p w14:paraId="1D0834B1" w14:textId="77777777" w:rsidR="00F41843" w:rsidRPr="000B0047" w:rsidRDefault="00F41843" w:rsidP="00D81C6A">
            <w:pPr>
              <w:jc w:val="both"/>
              <w:rPr>
                <w:rFonts w:cs="Tahoma"/>
                <w:szCs w:val="20"/>
              </w:rPr>
            </w:pPr>
            <w:r w:rsidRPr="000B0047">
              <w:rPr>
                <w:rFonts w:cs="Tahoma"/>
                <w:szCs w:val="20"/>
              </w:rPr>
              <w:t>L'infraction est également constituée :</w:t>
            </w:r>
          </w:p>
          <w:p w14:paraId="5EDA3441" w14:textId="77777777" w:rsidR="00F41843" w:rsidRPr="000B0047" w:rsidRDefault="00F41843" w:rsidP="00D81C6A">
            <w:pPr>
              <w:jc w:val="both"/>
              <w:rPr>
                <w:rFonts w:cs="Tahoma"/>
                <w:szCs w:val="20"/>
              </w:rPr>
            </w:pPr>
            <w:r w:rsidRPr="000B0047">
              <w:rPr>
                <w:rFonts w:cs="Tahoma"/>
                <w:szCs w:val="20"/>
              </w:rPr>
              <w:t>a) Lorsque ces propos ou comportements sont imposés à une même victime par plusieurs personnes, de manière concertée ou à l'instigation de l'une d'elles, alors même que chacune de ces personnes n'a pas agi de façon répétée ;</w:t>
            </w:r>
          </w:p>
          <w:p w14:paraId="7413862A" w14:textId="77777777" w:rsidR="00F41843" w:rsidRPr="000B0047" w:rsidRDefault="00F41843" w:rsidP="00D81C6A">
            <w:pPr>
              <w:jc w:val="both"/>
              <w:rPr>
                <w:rFonts w:cs="Tahoma"/>
                <w:szCs w:val="20"/>
              </w:rPr>
            </w:pPr>
            <w:r w:rsidRPr="000B0047">
              <w:rPr>
                <w:rFonts w:cs="Tahoma"/>
                <w:szCs w:val="20"/>
              </w:rPr>
              <w:t>b) Lorsque ces propos ou comportements sont imposés à une même victime, successivement, par plusieurs personnes qui, même en l'absence de concertation, savent que ces propos ou comportements caractérisent une répétition.</w:t>
            </w:r>
          </w:p>
          <w:p w14:paraId="2C0EF052" w14:textId="77777777" w:rsidR="00F41843" w:rsidRPr="000B0047" w:rsidRDefault="00F41843" w:rsidP="00D81C6A">
            <w:pPr>
              <w:jc w:val="both"/>
              <w:rPr>
                <w:rFonts w:cs="Tahoma"/>
                <w:szCs w:val="20"/>
              </w:rPr>
            </w:pPr>
            <w:r w:rsidRPr="000B0047">
              <w:rPr>
                <w:rFonts w:cs="Tahoma"/>
                <w:szCs w:val="20"/>
              </w:rPr>
              <w:t>Les faits mentionnés aux premier à quatrième alinéas sont punis de deux ans d'emprisonnement et de 30 000 € d'amende :</w:t>
            </w:r>
          </w:p>
          <w:p w14:paraId="54264564" w14:textId="77777777" w:rsidR="00F41843" w:rsidRPr="000B0047" w:rsidRDefault="00F41843" w:rsidP="00D81C6A">
            <w:pPr>
              <w:jc w:val="both"/>
              <w:rPr>
                <w:rFonts w:cs="Tahoma"/>
                <w:szCs w:val="20"/>
              </w:rPr>
            </w:pPr>
          </w:p>
          <w:p w14:paraId="5B40F1BB" w14:textId="77777777" w:rsidR="00F41843" w:rsidRPr="000B0047" w:rsidRDefault="00F41843" w:rsidP="00D81C6A">
            <w:pPr>
              <w:jc w:val="both"/>
              <w:rPr>
                <w:rFonts w:cs="Tahoma"/>
                <w:szCs w:val="20"/>
              </w:rPr>
            </w:pPr>
            <w:r w:rsidRPr="000B0047">
              <w:rPr>
                <w:rFonts w:cs="Tahoma"/>
                <w:szCs w:val="20"/>
              </w:rPr>
              <w:t>1° Lorsqu'ils ont causé une incapacité totale de travail supérieure à huit jours ;</w:t>
            </w:r>
          </w:p>
          <w:p w14:paraId="65867C0E" w14:textId="77777777" w:rsidR="00F41843" w:rsidRPr="000B0047" w:rsidRDefault="00F41843" w:rsidP="00D81C6A">
            <w:pPr>
              <w:jc w:val="both"/>
              <w:rPr>
                <w:rFonts w:cs="Tahoma"/>
                <w:szCs w:val="20"/>
              </w:rPr>
            </w:pPr>
            <w:r w:rsidRPr="000B0047">
              <w:rPr>
                <w:rFonts w:cs="Tahoma"/>
                <w:szCs w:val="20"/>
              </w:rPr>
              <w:t>2° Lorsqu'ils ont été commis sur un mineur ;</w:t>
            </w:r>
          </w:p>
          <w:p w14:paraId="73521F37" w14:textId="77777777" w:rsidR="00F41843" w:rsidRPr="000B0047" w:rsidRDefault="00F41843" w:rsidP="00D81C6A">
            <w:pPr>
              <w:jc w:val="both"/>
              <w:rPr>
                <w:rFonts w:cs="Tahoma"/>
                <w:szCs w:val="20"/>
              </w:rPr>
            </w:pPr>
            <w:r w:rsidRPr="000B0047">
              <w:rPr>
                <w:rFonts w:cs="Tahoma"/>
                <w:szCs w:val="20"/>
              </w:rPr>
              <w:t>3° Lorsqu'ils ont été commis sur une personne dont la particulière vulnérabilité, due à son âge, à une maladie, à une infirmité, à une déficience physique ou psychique ou à un état de grossesse, est apparente ou connue de leur auteur ;</w:t>
            </w:r>
          </w:p>
          <w:p w14:paraId="30848408" w14:textId="77777777" w:rsidR="00F41843" w:rsidRPr="000B0047" w:rsidRDefault="00F41843" w:rsidP="00D81C6A">
            <w:pPr>
              <w:jc w:val="both"/>
              <w:rPr>
                <w:rFonts w:cs="Tahoma"/>
                <w:szCs w:val="20"/>
              </w:rPr>
            </w:pPr>
            <w:r w:rsidRPr="000B0047">
              <w:rPr>
                <w:rFonts w:cs="Tahoma"/>
                <w:szCs w:val="20"/>
              </w:rPr>
              <w:t>4° Lorsqu'ils ont été commis par l'utilisation d'un service de communication au public en ligne ou par le biais d'un support numérique ou électronique ;</w:t>
            </w:r>
          </w:p>
          <w:p w14:paraId="66C9F4E8" w14:textId="77777777" w:rsidR="00F41843" w:rsidRPr="000B0047" w:rsidRDefault="00F41843" w:rsidP="00D81C6A">
            <w:pPr>
              <w:jc w:val="both"/>
              <w:rPr>
                <w:rFonts w:cs="Tahoma"/>
                <w:szCs w:val="20"/>
              </w:rPr>
            </w:pPr>
            <w:r w:rsidRPr="000B0047">
              <w:rPr>
                <w:rFonts w:cs="Tahoma"/>
                <w:szCs w:val="20"/>
              </w:rPr>
              <w:t>5° Lorsqu'un mineur était présent et y a assisté.</w:t>
            </w:r>
          </w:p>
          <w:p w14:paraId="6CC5457D" w14:textId="77777777" w:rsidR="00F41843" w:rsidRPr="000B0047" w:rsidRDefault="00F41843" w:rsidP="00D81C6A">
            <w:pPr>
              <w:jc w:val="both"/>
              <w:rPr>
                <w:rFonts w:cs="Tahoma"/>
                <w:b/>
                <w:bCs/>
                <w:szCs w:val="20"/>
              </w:rPr>
            </w:pPr>
            <w:r w:rsidRPr="000B0047">
              <w:rPr>
                <w:rFonts w:cs="Tahoma"/>
                <w:szCs w:val="20"/>
              </w:rPr>
              <w:t>Les faits mentionnés aux premier à quatrième alinéas sont punis de trois ans d'emprisonnement et de 45 000 € d'amende lorsqu'ils sont commis dans deux des circonstances mentionnées aux 1° à 5°.</w:t>
            </w:r>
          </w:p>
        </w:tc>
      </w:tr>
    </w:tbl>
    <w:p w14:paraId="62F88EDF" w14:textId="4B2817F4" w:rsidR="002E2B78" w:rsidRDefault="002E2B78" w:rsidP="00146370"/>
    <w:p w14:paraId="5C2BBF7C" w14:textId="77777777" w:rsidR="002E2B78" w:rsidRDefault="002E2B78">
      <w:r>
        <w:br w:type="page"/>
      </w:r>
    </w:p>
    <w:p w14:paraId="08EEC5D4" w14:textId="78C309BD" w:rsidR="00146370" w:rsidRDefault="002E2B78" w:rsidP="002E2B78">
      <w:pPr>
        <w:pStyle w:val="Titre1"/>
      </w:pPr>
      <w:bookmarkStart w:id="5" w:name="_Toc148101829"/>
      <w:r>
        <w:lastRenderedPageBreak/>
        <w:t>Lutte contre les discriminations</w:t>
      </w:r>
      <w:bookmarkEnd w:id="5"/>
    </w:p>
    <w:p w14:paraId="03229713" w14:textId="77777777" w:rsidR="00146370" w:rsidRDefault="00146370" w:rsidP="00146370"/>
    <w:tbl>
      <w:tblPr>
        <w:tblStyle w:val="Grilledutableau"/>
        <w:tblW w:w="10598" w:type="dxa"/>
        <w:tblLook w:val="04A0" w:firstRow="1" w:lastRow="0" w:firstColumn="1" w:lastColumn="0" w:noHBand="0" w:noVBand="1"/>
      </w:tblPr>
      <w:tblGrid>
        <w:gridCol w:w="10598"/>
      </w:tblGrid>
      <w:tr w:rsidR="00493317" w:rsidRPr="000B0047" w14:paraId="1BA435C4" w14:textId="77777777" w:rsidTr="00D81C6A">
        <w:tc>
          <w:tcPr>
            <w:tcW w:w="10598" w:type="dxa"/>
            <w:shd w:val="clear" w:color="auto" w:fill="EDF6FB"/>
          </w:tcPr>
          <w:p w14:paraId="56A539B8" w14:textId="77777777" w:rsidR="00493317" w:rsidRPr="000B0047" w:rsidRDefault="00493317" w:rsidP="00D81C6A">
            <w:pPr>
              <w:jc w:val="both"/>
              <w:rPr>
                <w:rFonts w:cs="Tahoma"/>
                <w:b/>
                <w:bCs/>
                <w:szCs w:val="20"/>
              </w:rPr>
            </w:pPr>
            <w:r w:rsidRPr="000B0047">
              <w:rPr>
                <w:rFonts w:cs="Tahoma"/>
                <w:b/>
                <w:bCs/>
                <w:szCs w:val="20"/>
              </w:rPr>
              <w:t>Articles 225-1 à 225-4 du code pénal</w:t>
            </w:r>
          </w:p>
        </w:tc>
      </w:tr>
      <w:tr w:rsidR="00493317" w:rsidRPr="000B0047" w14:paraId="73658ACE" w14:textId="77777777" w:rsidTr="00D81C6A">
        <w:tc>
          <w:tcPr>
            <w:tcW w:w="10598" w:type="dxa"/>
            <w:shd w:val="clear" w:color="auto" w:fill="FFFFFF" w:themeFill="background1"/>
          </w:tcPr>
          <w:p w14:paraId="05AF6597" w14:textId="77777777" w:rsidR="00493317" w:rsidRPr="000B0047" w:rsidRDefault="00493317" w:rsidP="00D81C6A">
            <w:pPr>
              <w:jc w:val="both"/>
              <w:rPr>
                <w:rFonts w:cs="Tahoma"/>
                <w:b/>
                <w:bCs/>
                <w:szCs w:val="20"/>
              </w:rPr>
            </w:pPr>
            <w:r>
              <w:rPr>
                <w:rFonts w:cs="Tahoma"/>
                <w:b/>
                <w:bCs/>
                <w:szCs w:val="20"/>
              </w:rPr>
              <w:br/>
            </w:r>
            <w:r w:rsidRPr="000B0047">
              <w:rPr>
                <w:rFonts w:cs="Tahoma"/>
                <w:b/>
                <w:bCs/>
                <w:szCs w:val="20"/>
              </w:rPr>
              <w:t>Article 225-1</w:t>
            </w:r>
          </w:p>
          <w:p w14:paraId="34D90CFA" w14:textId="77777777" w:rsidR="00493317" w:rsidRPr="000B0047" w:rsidRDefault="00493317" w:rsidP="00D81C6A">
            <w:pPr>
              <w:jc w:val="both"/>
              <w:rPr>
                <w:rFonts w:cs="Tahoma"/>
                <w:szCs w:val="20"/>
              </w:rPr>
            </w:pPr>
            <w:r w:rsidRPr="000B0047">
              <w:rPr>
                <w:rFonts w:cs="Tahoma"/>
                <w:szCs w:val="20"/>
              </w:rPr>
              <w:t>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qualité de lanceur d'alerte, de facilitateur ou de personne en lien avec un lanceur d'alerte au sens, respectivement, du I de l'article 6 et des 1° et 2° de l'article 6-1 de la loi n° 2016-1691 du 9 décembre 2016 relative à la transparence, à la lutte contre la corruption et à la modernisation de la vie économique, de leur capacité à s'exprimer dans une langue autre que le français, de leur appartenance ou de leur non-appartenance, vraie ou supposée, à une ethnie, une Nation, une prétendue race ou une religion déterminée.</w:t>
            </w:r>
          </w:p>
          <w:p w14:paraId="05D3925D" w14:textId="77777777" w:rsidR="00493317" w:rsidRPr="000B0047" w:rsidRDefault="00493317" w:rsidP="00D81C6A">
            <w:pPr>
              <w:jc w:val="both"/>
              <w:rPr>
                <w:rFonts w:cs="Tahoma"/>
                <w:szCs w:val="20"/>
              </w:rPr>
            </w:pPr>
            <w:r w:rsidRPr="000B0047">
              <w:rPr>
                <w:rFonts w:cs="Tahoma"/>
                <w:szCs w:val="20"/>
              </w:rPr>
              <w:t>Constitue également une discrimination toute distinction opérée entre les personnes morales sur le fondement de l'origine, du sexe, de la situation de famille, de la grossesse, de l'apparence physique, de la particulière vulnérabilité résultant de la situation économique, apparente ou connue de son auteur, du patronyme, du lieu de résidence, de l'état de santé, de la perte d'autonomie, du handicap, des caractéristiques génétiques, des mœurs, de l'orientation sexuelle, de l'identité de genre, de l'âge, des opinions politiques, des activités syndicales, de la qualité de lanceur d'alerte, de facilitateur ou de personne en lien avec un lanceur d'alerte, au sens, respectivement, du I de l'article 6 et des 1° et 2° de l'article 6-1 de la loi n° 2016-1691 du 9 décembre 2016 précitée, de la capacité à s'exprimer dans une langue autre que le français, de l'appartenance ou de la non-appartenance, vraie ou supposée, à une ethnie, une Nation, une prétendue race ou une religion déterminée des membres ou de certains membres de ces personnes morales.</w:t>
            </w:r>
          </w:p>
          <w:p w14:paraId="20A2AE76" w14:textId="77777777" w:rsidR="00493317" w:rsidRPr="000B0047" w:rsidRDefault="00493317" w:rsidP="00D81C6A">
            <w:pPr>
              <w:jc w:val="both"/>
              <w:rPr>
                <w:rFonts w:cs="Tahoma"/>
                <w:b/>
                <w:bCs/>
                <w:szCs w:val="20"/>
              </w:rPr>
            </w:pPr>
          </w:p>
          <w:p w14:paraId="1C0BB2F2" w14:textId="77777777" w:rsidR="00493317" w:rsidRPr="000B0047" w:rsidRDefault="00493317" w:rsidP="00D81C6A">
            <w:pPr>
              <w:jc w:val="both"/>
              <w:rPr>
                <w:rFonts w:cs="Tahoma"/>
                <w:b/>
                <w:bCs/>
                <w:szCs w:val="20"/>
              </w:rPr>
            </w:pPr>
            <w:r w:rsidRPr="000B0047">
              <w:rPr>
                <w:rFonts w:cs="Tahoma"/>
                <w:b/>
                <w:bCs/>
                <w:szCs w:val="20"/>
              </w:rPr>
              <w:t>Article 225-1-1</w:t>
            </w:r>
          </w:p>
          <w:p w14:paraId="07DCABBC" w14:textId="77777777" w:rsidR="00493317" w:rsidRPr="000B0047" w:rsidRDefault="00493317" w:rsidP="00D81C6A">
            <w:pPr>
              <w:jc w:val="both"/>
              <w:rPr>
                <w:rFonts w:cs="Tahoma"/>
                <w:szCs w:val="20"/>
              </w:rPr>
            </w:pPr>
            <w:r w:rsidRPr="000B0047">
              <w:rPr>
                <w:rFonts w:cs="Tahoma"/>
                <w:szCs w:val="20"/>
              </w:rPr>
              <w:t>Constitue une discrimination toute distinction opérée entre les personnes parce qu'elles ont subi ou refusé de subir des faits de harcèlement sexuel tels que définis à l'article 222-33 ou témoigné de tels faits, y compris, dans le cas mentionné au I du même article, si les propos ou comportements n'ont pas été répétés.</w:t>
            </w:r>
          </w:p>
          <w:p w14:paraId="37B4F927" w14:textId="77777777" w:rsidR="00493317" w:rsidRPr="000B0047" w:rsidRDefault="00493317" w:rsidP="00D81C6A">
            <w:pPr>
              <w:jc w:val="both"/>
              <w:rPr>
                <w:rFonts w:cs="Tahoma"/>
                <w:b/>
                <w:bCs/>
                <w:szCs w:val="20"/>
              </w:rPr>
            </w:pPr>
          </w:p>
          <w:p w14:paraId="34C72D4D" w14:textId="77777777" w:rsidR="00493317" w:rsidRPr="000B0047" w:rsidRDefault="00493317" w:rsidP="00D81C6A">
            <w:pPr>
              <w:jc w:val="both"/>
              <w:rPr>
                <w:rFonts w:cs="Tahoma"/>
                <w:b/>
                <w:bCs/>
                <w:szCs w:val="20"/>
              </w:rPr>
            </w:pPr>
            <w:r w:rsidRPr="000B0047">
              <w:rPr>
                <w:rFonts w:cs="Tahoma"/>
                <w:b/>
                <w:bCs/>
                <w:szCs w:val="20"/>
              </w:rPr>
              <w:t>Article 225-1-2</w:t>
            </w:r>
          </w:p>
          <w:p w14:paraId="5821BE89" w14:textId="77777777" w:rsidR="00493317" w:rsidRPr="000B0047" w:rsidRDefault="00493317" w:rsidP="00D81C6A">
            <w:pPr>
              <w:jc w:val="both"/>
              <w:rPr>
                <w:rFonts w:cs="Tahoma"/>
                <w:szCs w:val="20"/>
              </w:rPr>
            </w:pPr>
            <w:r w:rsidRPr="000B0047">
              <w:rPr>
                <w:rFonts w:cs="Tahoma"/>
                <w:szCs w:val="20"/>
              </w:rPr>
              <w:t>Constitue une discrimination toute distinction opérée entre les personnes parce qu'elles ont subi ou refusé de subir des faits de bizutage définis à l'article 225-16-1 ou témoigné de tels faits.</w:t>
            </w:r>
          </w:p>
          <w:p w14:paraId="21976643" w14:textId="77777777" w:rsidR="00493317" w:rsidRPr="000B0047" w:rsidRDefault="00493317" w:rsidP="00D81C6A">
            <w:pPr>
              <w:jc w:val="both"/>
              <w:rPr>
                <w:rFonts w:cs="Tahoma"/>
                <w:b/>
                <w:bCs/>
                <w:szCs w:val="20"/>
              </w:rPr>
            </w:pPr>
          </w:p>
          <w:p w14:paraId="483ADFAC" w14:textId="77777777" w:rsidR="00493317" w:rsidRPr="000B0047" w:rsidRDefault="00493317" w:rsidP="00D81C6A">
            <w:pPr>
              <w:jc w:val="both"/>
              <w:rPr>
                <w:rFonts w:cs="Tahoma"/>
                <w:b/>
                <w:bCs/>
                <w:szCs w:val="20"/>
              </w:rPr>
            </w:pPr>
            <w:r w:rsidRPr="000B0047">
              <w:rPr>
                <w:rFonts w:cs="Tahoma"/>
                <w:b/>
                <w:bCs/>
                <w:szCs w:val="20"/>
              </w:rPr>
              <w:t>Article 225-2</w:t>
            </w:r>
          </w:p>
          <w:p w14:paraId="15A3A054" w14:textId="77777777" w:rsidR="00493317" w:rsidRPr="000B0047" w:rsidRDefault="00493317" w:rsidP="00D81C6A">
            <w:pPr>
              <w:jc w:val="both"/>
              <w:rPr>
                <w:rFonts w:cs="Tahoma"/>
                <w:szCs w:val="20"/>
              </w:rPr>
            </w:pPr>
            <w:r w:rsidRPr="000B0047">
              <w:rPr>
                <w:rFonts w:cs="Tahoma"/>
                <w:szCs w:val="20"/>
              </w:rPr>
              <w:t>La discrimination définie aux articles 225-1 à 225-1-2, commise à l'égard d'une personne physique ou morale, est punie de trois ans d'emprisonnement et de 45 000 euros d'amende lorsqu'elle consiste :</w:t>
            </w:r>
          </w:p>
          <w:p w14:paraId="414A7DFF" w14:textId="77777777" w:rsidR="00493317" w:rsidRPr="000B0047" w:rsidRDefault="00493317" w:rsidP="00D81C6A">
            <w:pPr>
              <w:jc w:val="both"/>
              <w:rPr>
                <w:rFonts w:cs="Tahoma"/>
                <w:szCs w:val="20"/>
              </w:rPr>
            </w:pPr>
            <w:r w:rsidRPr="000B0047">
              <w:rPr>
                <w:rFonts w:cs="Tahoma"/>
                <w:szCs w:val="20"/>
              </w:rPr>
              <w:t>1° A refuser la fourniture d'un bien ou d'un service ;</w:t>
            </w:r>
          </w:p>
          <w:p w14:paraId="61D0846A" w14:textId="77777777" w:rsidR="00493317" w:rsidRPr="000B0047" w:rsidRDefault="00493317" w:rsidP="00D81C6A">
            <w:pPr>
              <w:jc w:val="both"/>
              <w:rPr>
                <w:rFonts w:cs="Tahoma"/>
                <w:szCs w:val="20"/>
              </w:rPr>
            </w:pPr>
            <w:r w:rsidRPr="000B0047">
              <w:rPr>
                <w:rFonts w:cs="Tahoma"/>
                <w:szCs w:val="20"/>
              </w:rPr>
              <w:t>2° A entraver l'exercice normal d'une activité économique quelconque ;</w:t>
            </w:r>
          </w:p>
          <w:p w14:paraId="1774BC1D" w14:textId="77777777" w:rsidR="00493317" w:rsidRPr="000B0047" w:rsidRDefault="00493317" w:rsidP="00D81C6A">
            <w:pPr>
              <w:jc w:val="both"/>
              <w:rPr>
                <w:rFonts w:cs="Tahoma"/>
                <w:szCs w:val="20"/>
              </w:rPr>
            </w:pPr>
            <w:r w:rsidRPr="000B0047">
              <w:rPr>
                <w:rFonts w:cs="Tahoma"/>
                <w:szCs w:val="20"/>
              </w:rPr>
              <w:t>3° A refuser d'embaucher, à sanctionner ou à licencier une personne ;</w:t>
            </w:r>
          </w:p>
          <w:p w14:paraId="746163B2" w14:textId="77777777" w:rsidR="00493317" w:rsidRPr="000B0047" w:rsidRDefault="00493317" w:rsidP="00D81C6A">
            <w:pPr>
              <w:jc w:val="both"/>
              <w:rPr>
                <w:rFonts w:cs="Tahoma"/>
                <w:szCs w:val="20"/>
              </w:rPr>
            </w:pPr>
            <w:r w:rsidRPr="000B0047">
              <w:rPr>
                <w:rFonts w:cs="Tahoma"/>
                <w:szCs w:val="20"/>
              </w:rPr>
              <w:t>4° A subordonner la fourniture d'un bien ou d'un service à une condition fondée sur l'un des éléments visés à l'article 225-1 ou prévue aux articles 225-1-1 ou 225-1-2 ;</w:t>
            </w:r>
          </w:p>
          <w:p w14:paraId="573AA896" w14:textId="77777777" w:rsidR="00493317" w:rsidRPr="000B0047" w:rsidRDefault="00493317" w:rsidP="00D81C6A">
            <w:pPr>
              <w:jc w:val="both"/>
              <w:rPr>
                <w:rFonts w:cs="Tahoma"/>
                <w:szCs w:val="20"/>
              </w:rPr>
            </w:pPr>
            <w:r w:rsidRPr="000B0047">
              <w:rPr>
                <w:rFonts w:cs="Tahoma"/>
                <w:szCs w:val="20"/>
              </w:rPr>
              <w:t>5° A subordonner une offre d'emploi, une demande de stage ou une période de formation en entreprise à une condition fondée sur l'un des éléments visés à l'article 225-1 ou prévue aux articles 225-1-1 ou 225-1-2 ;</w:t>
            </w:r>
          </w:p>
          <w:p w14:paraId="00626554" w14:textId="77777777" w:rsidR="00493317" w:rsidRPr="000B0047" w:rsidRDefault="00493317" w:rsidP="00D81C6A">
            <w:pPr>
              <w:jc w:val="both"/>
              <w:rPr>
                <w:rFonts w:cs="Tahoma"/>
                <w:szCs w:val="20"/>
              </w:rPr>
            </w:pPr>
            <w:r w:rsidRPr="000B0047">
              <w:rPr>
                <w:rFonts w:cs="Tahoma"/>
                <w:szCs w:val="20"/>
              </w:rPr>
              <w:t>6° A refuser d'accepter une personne à l'un des stages visés par le 2° de l'article L. 412-8 du code de la sécurité sociale.</w:t>
            </w:r>
          </w:p>
          <w:p w14:paraId="59D5EB08" w14:textId="77777777" w:rsidR="00493317" w:rsidRPr="000B0047" w:rsidRDefault="00493317" w:rsidP="00D81C6A">
            <w:pPr>
              <w:jc w:val="both"/>
              <w:rPr>
                <w:rFonts w:cs="Tahoma"/>
                <w:szCs w:val="20"/>
              </w:rPr>
            </w:pPr>
            <w:r w:rsidRPr="000B0047">
              <w:rPr>
                <w:rFonts w:cs="Tahoma"/>
                <w:szCs w:val="20"/>
              </w:rPr>
              <w:t>Lorsque le refus discriminatoire prévu au 1° est commis dans un lieu accueillant du public ou aux fins d'en interdire l'accès, les peines sont portées à cinq ans d'emprisonnement et à 75 000 euros d'amende.</w:t>
            </w:r>
          </w:p>
          <w:p w14:paraId="7EA66F7D" w14:textId="77777777" w:rsidR="00493317" w:rsidRPr="000B0047" w:rsidRDefault="00493317" w:rsidP="00D81C6A">
            <w:pPr>
              <w:jc w:val="both"/>
              <w:rPr>
                <w:rFonts w:cs="Tahoma"/>
                <w:b/>
                <w:bCs/>
                <w:szCs w:val="20"/>
              </w:rPr>
            </w:pPr>
            <w:r w:rsidRPr="000B0047">
              <w:rPr>
                <w:rFonts w:cs="Tahoma"/>
                <w:b/>
                <w:bCs/>
                <w:szCs w:val="20"/>
              </w:rPr>
              <w:t xml:space="preserve"> </w:t>
            </w:r>
          </w:p>
          <w:p w14:paraId="521017FA" w14:textId="77777777" w:rsidR="00493317" w:rsidRPr="000B0047" w:rsidRDefault="00493317" w:rsidP="00D81C6A">
            <w:pPr>
              <w:jc w:val="both"/>
              <w:rPr>
                <w:rFonts w:cs="Tahoma"/>
                <w:b/>
                <w:bCs/>
                <w:szCs w:val="20"/>
              </w:rPr>
            </w:pPr>
            <w:r w:rsidRPr="000B0047">
              <w:rPr>
                <w:rFonts w:cs="Tahoma"/>
                <w:b/>
                <w:bCs/>
                <w:szCs w:val="20"/>
              </w:rPr>
              <w:t>Article 225-3</w:t>
            </w:r>
          </w:p>
          <w:p w14:paraId="4E74BE8A" w14:textId="77777777" w:rsidR="00493317" w:rsidRPr="000B0047" w:rsidRDefault="00493317" w:rsidP="00D81C6A">
            <w:pPr>
              <w:jc w:val="both"/>
              <w:rPr>
                <w:rFonts w:cs="Tahoma"/>
                <w:szCs w:val="20"/>
              </w:rPr>
            </w:pPr>
            <w:r w:rsidRPr="000B0047">
              <w:rPr>
                <w:rFonts w:cs="Tahoma"/>
                <w:szCs w:val="20"/>
              </w:rPr>
              <w:t>Les dispositions de l'article précédent ne sont pas applicables :</w:t>
            </w:r>
          </w:p>
          <w:p w14:paraId="6FBEA379" w14:textId="77777777" w:rsidR="00493317" w:rsidRPr="000B0047" w:rsidRDefault="00493317" w:rsidP="00D81C6A">
            <w:pPr>
              <w:jc w:val="both"/>
              <w:rPr>
                <w:rFonts w:cs="Tahoma"/>
                <w:szCs w:val="20"/>
              </w:rPr>
            </w:pPr>
            <w:r w:rsidRPr="000B0047">
              <w:rPr>
                <w:rFonts w:cs="Tahoma"/>
                <w:szCs w:val="20"/>
              </w:rPr>
              <w:t>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l'article L. 1231-1 du code de la santé publique ou de données issues de techniques d'imagerie cérébrale ;</w:t>
            </w:r>
          </w:p>
          <w:p w14:paraId="7F925602" w14:textId="77777777" w:rsidR="00493317" w:rsidRPr="000B0047" w:rsidRDefault="00493317" w:rsidP="00D81C6A">
            <w:pPr>
              <w:jc w:val="both"/>
              <w:rPr>
                <w:rFonts w:cs="Tahoma"/>
                <w:szCs w:val="20"/>
              </w:rPr>
            </w:pPr>
            <w:r w:rsidRPr="000B0047">
              <w:rPr>
                <w:rFonts w:cs="Tahoma"/>
                <w:szCs w:val="20"/>
              </w:rPr>
              <w:t>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w:t>
            </w:r>
          </w:p>
          <w:p w14:paraId="2BFA9113" w14:textId="77777777" w:rsidR="00493317" w:rsidRPr="000B0047" w:rsidRDefault="00493317" w:rsidP="00D81C6A">
            <w:pPr>
              <w:jc w:val="both"/>
              <w:rPr>
                <w:rFonts w:cs="Tahoma"/>
                <w:szCs w:val="20"/>
              </w:rPr>
            </w:pPr>
            <w:r w:rsidRPr="000B0047">
              <w:rPr>
                <w:rFonts w:cs="Tahoma"/>
                <w:szCs w:val="20"/>
              </w:rPr>
              <w:lastRenderedPageBreak/>
              <w:t>3° Aux discriminations fondées, en matière d'embauche, sur un motif mentionné à l'article 225-1 du présent code, lorsqu'un tel motif constitue une exigence professionnelle essentielle et déterminante et pour autant que l'objectif soit légitime et l'exigence proportionnée ;</w:t>
            </w:r>
          </w:p>
          <w:p w14:paraId="469C539A" w14:textId="77777777" w:rsidR="00493317" w:rsidRPr="000B0047" w:rsidRDefault="00493317" w:rsidP="00D81C6A">
            <w:pPr>
              <w:jc w:val="both"/>
              <w:rPr>
                <w:rFonts w:cs="Tahoma"/>
                <w:szCs w:val="20"/>
              </w:rPr>
            </w:pPr>
            <w:r w:rsidRPr="000B0047">
              <w:rPr>
                <w:rFonts w:cs="Tahoma"/>
                <w:szCs w:val="20"/>
              </w:rPr>
              <w:t>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w:t>
            </w:r>
          </w:p>
          <w:p w14:paraId="764022A5" w14:textId="77777777" w:rsidR="00493317" w:rsidRPr="000B0047" w:rsidRDefault="00493317" w:rsidP="00D81C6A">
            <w:pPr>
              <w:jc w:val="both"/>
              <w:rPr>
                <w:rFonts w:cs="Tahoma"/>
                <w:szCs w:val="20"/>
              </w:rPr>
            </w:pPr>
            <w:r w:rsidRPr="000B0047">
              <w:rPr>
                <w:rFonts w:cs="Tahoma"/>
                <w:szCs w:val="20"/>
              </w:rPr>
              <w:t>5° Aux refus d'embauche fondés sur la nationalité lorsqu'ils résultent de l'application des dispositions statutaires relatives à la fonction publique ;</w:t>
            </w:r>
          </w:p>
          <w:p w14:paraId="157DFCC5" w14:textId="77777777" w:rsidR="00493317" w:rsidRPr="000B0047" w:rsidRDefault="00493317" w:rsidP="00D81C6A">
            <w:pPr>
              <w:jc w:val="both"/>
              <w:rPr>
                <w:rFonts w:cs="Tahoma"/>
                <w:szCs w:val="20"/>
              </w:rPr>
            </w:pPr>
            <w:r w:rsidRPr="000B0047">
              <w:rPr>
                <w:rFonts w:cs="Tahoma"/>
                <w:szCs w:val="20"/>
              </w:rPr>
              <w:t>6° Aux discriminations liées au lieu de résidence lorsque la personne chargée de la fourniture d'un bien ou service se trouve en situation de danger manifeste.</w:t>
            </w:r>
          </w:p>
          <w:p w14:paraId="1D56C98A" w14:textId="77777777" w:rsidR="00493317" w:rsidRPr="000B0047" w:rsidRDefault="00493317" w:rsidP="00D81C6A">
            <w:pPr>
              <w:jc w:val="both"/>
              <w:rPr>
                <w:rFonts w:cs="Tahoma"/>
                <w:szCs w:val="20"/>
              </w:rPr>
            </w:pPr>
            <w:r w:rsidRPr="000B0047">
              <w:rPr>
                <w:rFonts w:cs="Tahoma"/>
                <w:szCs w:val="20"/>
              </w:rPr>
              <w:t>Les mesures prises en faveur des personnes résidant dans certaines zones géographiques et visant à favoriser l'égalité de traitement ne constituent pas une discrimination.</w:t>
            </w:r>
          </w:p>
          <w:p w14:paraId="257E80E9" w14:textId="77777777" w:rsidR="00493317" w:rsidRPr="000B0047" w:rsidRDefault="00493317" w:rsidP="00D81C6A">
            <w:pPr>
              <w:jc w:val="both"/>
              <w:rPr>
                <w:rFonts w:cs="Tahoma"/>
                <w:b/>
                <w:bCs/>
                <w:szCs w:val="20"/>
              </w:rPr>
            </w:pPr>
          </w:p>
          <w:p w14:paraId="012432F4" w14:textId="77777777" w:rsidR="00493317" w:rsidRPr="000B0047" w:rsidRDefault="00493317" w:rsidP="00D81C6A">
            <w:pPr>
              <w:jc w:val="both"/>
              <w:rPr>
                <w:rFonts w:cs="Tahoma"/>
                <w:b/>
                <w:bCs/>
                <w:szCs w:val="20"/>
              </w:rPr>
            </w:pPr>
            <w:r w:rsidRPr="000B0047">
              <w:rPr>
                <w:rFonts w:cs="Tahoma"/>
                <w:b/>
                <w:bCs/>
                <w:szCs w:val="20"/>
              </w:rPr>
              <w:t>Article 225-3-1</w:t>
            </w:r>
          </w:p>
          <w:p w14:paraId="64C378FB" w14:textId="77777777" w:rsidR="00493317" w:rsidRPr="000B0047" w:rsidRDefault="00493317" w:rsidP="00D81C6A">
            <w:pPr>
              <w:jc w:val="both"/>
              <w:rPr>
                <w:rFonts w:cs="Tahoma"/>
                <w:szCs w:val="20"/>
              </w:rPr>
            </w:pPr>
            <w:r w:rsidRPr="000B0047">
              <w:rPr>
                <w:rFonts w:cs="Tahoma"/>
                <w:szCs w:val="20"/>
              </w:rPr>
              <w:t>Les délits prévus par la présente section sont constitués même s'ils sont commis à l'encontre d'une ou plusieurs personnes ayant sollicité l'un des biens, actes, services ou contrats mentionnés à l'article 225-2 dans le but de démontrer l'existence du comportement discriminatoire, dès lors que la preuve de ce comportement est établie.</w:t>
            </w:r>
          </w:p>
          <w:p w14:paraId="3A0513D2" w14:textId="77777777" w:rsidR="00493317" w:rsidRPr="000B0047" w:rsidRDefault="00493317" w:rsidP="00D81C6A">
            <w:pPr>
              <w:jc w:val="both"/>
              <w:rPr>
                <w:rFonts w:cs="Tahoma"/>
                <w:b/>
                <w:bCs/>
                <w:szCs w:val="20"/>
              </w:rPr>
            </w:pPr>
          </w:p>
          <w:p w14:paraId="6FD62E09" w14:textId="77777777" w:rsidR="00493317" w:rsidRPr="000B0047" w:rsidRDefault="00493317" w:rsidP="00D81C6A">
            <w:pPr>
              <w:jc w:val="both"/>
              <w:rPr>
                <w:rFonts w:cs="Tahoma"/>
                <w:b/>
                <w:bCs/>
                <w:szCs w:val="20"/>
              </w:rPr>
            </w:pPr>
            <w:r w:rsidRPr="000B0047">
              <w:rPr>
                <w:rFonts w:cs="Tahoma"/>
                <w:b/>
                <w:bCs/>
                <w:szCs w:val="20"/>
              </w:rPr>
              <w:t>Article 225-4</w:t>
            </w:r>
          </w:p>
          <w:p w14:paraId="06B10BCE" w14:textId="77777777" w:rsidR="00493317" w:rsidRPr="000B0047" w:rsidRDefault="00493317" w:rsidP="00D81C6A">
            <w:pPr>
              <w:jc w:val="both"/>
              <w:rPr>
                <w:rFonts w:cs="Tahoma"/>
                <w:szCs w:val="20"/>
              </w:rPr>
            </w:pPr>
            <w:r w:rsidRPr="000B0047">
              <w:rPr>
                <w:rFonts w:cs="Tahoma"/>
                <w:szCs w:val="20"/>
              </w:rPr>
              <w:t>Les personnes morales déclarées responsables pénalement, dans les conditions prévues par l'article 121-2, des infractions définies à l'article 225-2 encourent, outre l'amende suivant les modalités prévues par l'article 131-38, les peines prévues par les 2° à 5°, 8° et 9° de l'article 131-39.</w:t>
            </w:r>
          </w:p>
          <w:p w14:paraId="511E8D1D" w14:textId="77777777" w:rsidR="00493317" w:rsidRDefault="00493317" w:rsidP="00D81C6A">
            <w:pPr>
              <w:jc w:val="both"/>
              <w:rPr>
                <w:rFonts w:cs="Tahoma"/>
                <w:szCs w:val="20"/>
              </w:rPr>
            </w:pPr>
            <w:r w:rsidRPr="000B0047">
              <w:rPr>
                <w:rFonts w:cs="Tahoma"/>
                <w:szCs w:val="20"/>
              </w:rPr>
              <w:t>L'interdiction mentionnée au 2° de l'article 131-39 porte sur l'activité dans l'exercice ou à l'occasion de l'exercice de laquelle l'infraction a été commise.</w:t>
            </w:r>
          </w:p>
          <w:p w14:paraId="1C1882FB" w14:textId="77777777" w:rsidR="00493317" w:rsidRPr="000B0047" w:rsidRDefault="00493317" w:rsidP="00D81C6A">
            <w:pPr>
              <w:jc w:val="both"/>
              <w:rPr>
                <w:rFonts w:cs="Tahoma"/>
                <w:b/>
                <w:bCs/>
                <w:szCs w:val="20"/>
              </w:rPr>
            </w:pPr>
          </w:p>
        </w:tc>
      </w:tr>
    </w:tbl>
    <w:p w14:paraId="31400554" w14:textId="77777777" w:rsidR="00146370" w:rsidRDefault="00146370" w:rsidP="00146370"/>
    <w:p w14:paraId="687A36E9" w14:textId="77777777" w:rsidR="00146370" w:rsidRDefault="00146370" w:rsidP="00146370"/>
    <w:p w14:paraId="1F1ED851" w14:textId="77777777" w:rsidR="00146370" w:rsidRDefault="00146370" w:rsidP="00146370"/>
    <w:p w14:paraId="7FB16533" w14:textId="77777777" w:rsidR="00146370" w:rsidRDefault="00146370" w:rsidP="00146370"/>
    <w:p w14:paraId="14F10EAB" w14:textId="77777777" w:rsidR="00146370" w:rsidRDefault="00146370" w:rsidP="00146370"/>
    <w:p w14:paraId="057727AD" w14:textId="77777777" w:rsidR="00146370" w:rsidRDefault="00146370" w:rsidP="00146370"/>
    <w:p w14:paraId="10A9F046" w14:textId="77777777" w:rsidR="00146370" w:rsidRDefault="00146370" w:rsidP="00146370"/>
    <w:p w14:paraId="00B8262E" w14:textId="77777777" w:rsidR="00146370" w:rsidRDefault="00146370" w:rsidP="00146370"/>
    <w:p w14:paraId="0B7D1871" w14:textId="77777777" w:rsidR="00146370" w:rsidRDefault="00146370" w:rsidP="00146370"/>
    <w:p w14:paraId="16B0498F" w14:textId="7134A3CE" w:rsidR="00146370" w:rsidRPr="00146370" w:rsidRDefault="00146370" w:rsidP="00146370">
      <w:r>
        <w:t xml:space="preserve"> </w:t>
      </w:r>
    </w:p>
    <w:sectPr w:rsidR="00146370" w:rsidRPr="00146370" w:rsidSect="00711FC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B20C" w14:textId="77777777" w:rsidR="00545D2C" w:rsidRDefault="00545D2C" w:rsidP="008B710A">
      <w:r>
        <w:separator/>
      </w:r>
    </w:p>
  </w:endnote>
  <w:endnote w:type="continuationSeparator" w:id="0">
    <w:p w14:paraId="5C51BC0E" w14:textId="77777777" w:rsidR="00545D2C" w:rsidRDefault="00545D2C" w:rsidP="008B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Neo Sans Pro">
    <w:altName w:val="Cambria"/>
    <w:panose1 w:val="020B0504030504040204"/>
    <w:charset w:val="00"/>
    <w:family w:val="swiss"/>
    <w:pitch w:val="variable"/>
    <w:sig w:usb0="A00000AF" w:usb1="5000205B" w:usb2="00000000" w:usb3="00000000" w:csb0="0000009B" w:csb1="00000000"/>
  </w:font>
  <w:font w:name="FrankfurtGothic">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Officina Sans Book">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4793" w14:textId="77777777" w:rsidR="00545D2C" w:rsidRDefault="00545D2C" w:rsidP="008B710A">
      <w:r>
        <w:separator/>
      </w:r>
    </w:p>
  </w:footnote>
  <w:footnote w:type="continuationSeparator" w:id="0">
    <w:p w14:paraId="27AF6555" w14:textId="77777777" w:rsidR="00545D2C" w:rsidRDefault="00545D2C" w:rsidP="008B710A">
      <w:r>
        <w:continuationSeparator/>
      </w:r>
    </w:p>
  </w:footnote>
  <w:footnote w:id="1">
    <w:p w14:paraId="3C784CFC" w14:textId="77777777" w:rsidR="00CF7D05" w:rsidRDefault="00CF7D05" w:rsidP="00CF7D05">
      <w:pPr>
        <w:pStyle w:val="Notedebasdepage"/>
      </w:pPr>
      <w:r w:rsidRPr="00D20FEF">
        <w:rPr>
          <w:rStyle w:val="Appelnotedebasdep"/>
          <w:sz w:val="18"/>
          <w:szCs w:val="18"/>
        </w:rPr>
        <w:footnoteRef/>
      </w:r>
      <w:r w:rsidRPr="00D20FEF">
        <w:rPr>
          <w:sz w:val="18"/>
          <w:szCs w:val="18"/>
        </w:rPr>
        <w:t xml:space="preserve"> Information annuelle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5FF"/>
    <w:multiLevelType w:val="hybridMultilevel"/>
    <w:tmpl w:val="5C942F6E"/>
    <w:lvl w:ilvl="0" w:tplc="6D68A4C4">
      <w:numFmt w:val="bullet"/>
      <w:lvlText w:val="•"/>
      <w:lvlJc w:val="left"/>
      <w:pPr>
        <w:ind w:left="1070" w:hanging="71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07566"/>
    <w:multiLevelType w:val="hybridMultilevel"/>
    <w:tmpl w:val="7DB036F8"/>
    <w:lvl w:ilvl="0" w:tplc="6CBA91B6">
      <w:start w:val="1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B8246C"/>
    <w:multiLevelType w:val="hybridMultilevel"/>
    <w:tmpl w:val="EF703DC0"/>
    <w:lvl w:ilvl="0" w:tplc="F68262BE">
      <w:start w:val="1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70E0E"/>
    <w:multiLevelType w:val="hybridMultilevel"/>
    <w:tmpl w:val="A40A95E0"/>
    <w:lvl w:ilvl="0" w:tplc="5CD6E9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296FF5"/>
    <w:multiLevelType w:val="hybridMultilevel"/>
    <w:tmpl w:val="45482D84"/>
    <w:lvl w:ilvl="0" w:tplc="79A8B112">
      <w:start w:val="1"/>
      <w:numFmt w:val="bullet"/>
      <w:lvlText w:val=""/>
      <w:lvlJc w:val="left"/>
      <w:pPr>
        <w:ind w:left="720" w:hanging="360"/>
      </w:pPr>
      <w:rPr>
        <w:rFonts w:ascii="Wingdings" w:eastAsia="Calibr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4247B9"/>
    <w:multiLevelType w:val="multilevel"/>
    <w:tmpl w:val="6B6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15CEC"/>
    <w:multiLevelType w:val="hybridMultilevel"/>
    <w:tmpl w:val="1FAE9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5B3456"/>
    <w:multiLevelType w:val="multilevel"/>
    <w:tmpl w:val="F91A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55772"/>
    <w:multiLevelType w:val="hybridMultilevel"/>
    <w:tmpl w:val="EAE29EA4"/>
    <w:lvl w:ilvl="0" w:tplc="901CEB08">
      <w:start w:val="1"/>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2A3F84"/>
    <w:multiLevelType w:val="singleLevel"/>
    <w:tmpl w:val="0EC4B358"/>
    <w:lvl w:ilvl="0">
      <w:start w:val="1"/>
      <w:numFmt w:val="bullet"/>
      <w:pStyle w:val="Listepucesrondes"/>
      <w:lvlText w:val=""/>
      <w:lvlJc w:val="left"/>
      <w:pPr>
        <w:tabs>
          <w:tab w:val="num" w:pos="360"/>
        </w:tabs>
        <w:ind w:left="284" w:hanging="284"/>
      </w:pPr>
      <w:rPr>
        <w:rFonts w:ascii="Marlett" w:hAnsi="Marlett" w:hint="default"/>
      </w:rPr>
    </w:lvl>
  </w:abstractNum>
  <w:abstractNum w:abstractNumId="10" w15:restartNumberingAfterBreak="0">
    <w:nsid w:val="755B764D"/>
    <w:multiLevelType w:val="hybridMultilevel"/>
    <w:tmpl w:val="8D50C2A2"/>
    <w:lvl w:ilvl="0" w:tplc="F68262BE">
      <w:start w:val="1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5199826">
    <w:abstractNumId w:val="9"/>
  </w:num>
  <w:num w:numId="2" w16cid:durableId="1443303693">
    <w:abstractNumId w:val="3"/>
  </w:num>
  <w:num w:numId="3" w16cid:durableId="1217089031">
    <w:abstractNumId w:val="8"/>
  </w:num>
  <w:num w:numId="4" w16cid:durableId="782189688">
    <w:abstractNumId w:val="4"/>
  </w:num>
  <w:num w:numId="5" w16cid:durableId="2038238028">
    <w:abstractNumId w:val="9"/>
  </w:num>
  <w:num w:numId="6" w16cid:durableId="189219832">
    <w:abstractNumId w:val="3"/>
  </w:num>
  <w:num w:numId="7" w16cid:durableId="1127041081">
    <w:abstractNumId w:val="8"/>
  </w:num>
  <w:num w:numId="8" w16cid:durableId="1720088664">
    <w:abstractNumId w:val="4"/>
  </w:num>
  <w:num w:numId="9" w16cid:durableId="803697801">
    <w:abstractNumId w:val="10"/>
  </w:num>
  <w:num w:numId="10" w16cid:durableId="485634395">
    <w:abstractNumId w:val="1"/>
  </w:num>
  <w:num w:numId="11" w16cid:durableId="992640657">
    <w:abstractNumId w:val="5"/>
  </w:num>
  <w:num w:numId="12" w16cid:durableId="1688216202">
    <w:abstractNumId w:val="7"/>
  </w:num>
  <w:num w:numId="13" w16cid:durableId="1872914622">
    <w:abstractNumId w:val="2"/>
  </w:num>
  <w:num w:numId="14" w16cid:durableId="1049304183">
    <w:abstractNumId w:val="0"/>
  </w:num>
  <w:num w:numId="15" w16cid:durableId="1509295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A"/>
    <w:rsid w:val="00002BE1"/>
    <w:rsid w:val="00005536"/>
    <w:rsid w:val="00006DBE"/>
    <w:rsid w:val="000251AB"/>
    <w:rsid w:val="00031465"/>
    <w:rsid w:val="00044798"/>
    <w:rsid w:val="00047D1E"/>
    <w:rsid w:val="00095F90"/>
    <w:rsid w:val="000B0047"/>
    <w:rsid w:val="000B1570"/>
    <w:rsid w:val="000C2271"/>
    <w:rsid w:val="000E7779"/>
    <w:rsid w:val="00100FCD"/>
    <w:rsid w:val="0010128C"/>
    <w:rsid w:val="00115E32"/>
    <w:rsid w:val="001275BC"/>
    <w:rsid w:val="001302A3"/>
    <w:rsid w:val="00131476"/>
    <w:rsid w:val="00141AA7"/>
    <w:rsid w:val="00146370"/>
    <w:rsid w:val="001475C7"/>
    <w:rsid w:val="00162617"/>
    <w:rsid w:val="00171FDF"/>
    <w:rsid w:val="001747D4"/>
    <w:rsid w:val="00190285"/>
    <w:rsid w:val="00195EEA"/>
    <w:rsid w:val="001A3341"/>
    <w:rsid w:val="001B533F"/>
    <w:rsid w:val="001C7EBA"/>
    <w:rsid w:val="001D0B01"/>
    <w:rsid w:val="001D7AB0"/>
    <w:rsid w:val="001E2DB6"/>
    <w:rsid w:val="001E6B2C"/>
    <w:rsid w:val="001F0A26"/>
    <w:rsid w:val="001F57B3"/>
    <w:rsid w:val="002021E0"/>
    <w:rsid w:val="00204D9B"/>
    <w:rsid w:val="00217BF1"/>
    <w:rsid w:val="0027191A"/>
    <w:rsid w:val="00271F4B"/>
    <w:rsid w:val="00272D6F"/>
    <w:rsid w:val="002A0200"/>
    <w:rsid w:val="002A1397"/>
    <w:rsid w:val="002A3B75"/>
    <w:rsid w:val="002A47EF"/>
    <w:rsid w:val="002A5F1A"/>
    <w:rsid w:val="002C4A5F"/>
    <w:rsid w:val="002C6229"/>
    <w:rsid w:val="002D756C"/>
    <w:rsid w:val="002E2A78"/>
    <w:rsid w:val="002E2B78"/>
    <w:rsid w:val="00307DD4"/>
    <w:rsid w:val="00314106"/>
    <w:rsid w:val="003145AA"/>
    <w:rsid w:val="0032176A"/>
    <w:rsid w:val="003228D7"/>
    <w:rsid w:val="00341113"/>
    <w:rsid w:val="003503EB"/>
    <w:rsid w:val="00352F6D"/>
    <w:rsid w:val="003571E4"/>
    <w:rsid w:val="003627EB"/>
    <w:rsid w:val="00363DAB"/>
    <w:rsid w:val="003C5600"/>
    <w:rsid w:val="00401BBB"/>
    <w:rsid w:val="00402EE1"/>
    <w:rsid w:val="0040576C"/>
    <w:rsid w:val="00416976"/>
    <w:rsid w:val="00421A4C"/>
    <w:rsid w:val="00422B71"/>
    <w:rsid w:val="00476430"/>
    <w:rsid w:val="004767A6"/>
    <w:rsid w:val="00484120"/>
    <w:rsid w:val="00493317"/>
    <w:rsid w:val="00495B4C"/>
    <w:rsid w:val="004B0CB2"/>
    <w:rsid w:val="004C2012"/>
    <w:rsid w:val="004C3FB4"/>
    <w:rsid w:val="004C6425"/>
    <w:rsid w:val="004E2EAB"/>
    <w:rsid w:val="004F4F48"/>
    <w:rsid w:val="005040B6"/>
    <w:rsid w:val="00510F9E"/>
    <w:rsid w:val="00535E22"/>
    <w:rsid w:val="005369F8"/>
    <w:rsid w:val="005378D1"/>
    <w:rsid w:val="005402B0"/>
    <w:rsid w:val="00545D2C"/>
    <w:rsid w:val="0054767A"/>
    <w:rsid w:val="00551A68"/>
    <w:rsid w:val="00552C14"/>
    <w:rsid w:val="00560780"/>
    <w:rsid w:val="00582695"/>
    <w:rsid w:val="00586ECD"/>
    <w:rsid w:val="00591A87"/>
    <w:rsid w:val="005974CA"/>
    <w:rsid w:val="005C36DF"/>
    <w:rsid w:val="005F3B92"/>
    <w:rsid w:val="006066BE"/>
    <w:rsid w:val="00610C84"/>
    <w:rsid w:val="006140B9"/>
    <w:rsid w:val="00617965"/>
    <w:rsid w:val="0064329B"/>
    <w:rsid w:val="006462C9"/>
    <w:rsid w:val="006C026E"/>
    <w:rsid w:val="006D47AD"/>
    <w:rsid w:val="006E44EF"/>
    <w:rsid w:val="006F2BAA"/>
    <w:rsid w:val="00705451"/>
    <w:rsid w:val="00710D88"/>
    <w:rsid w:val="00711FC0"/>
    <w:rsid w:val="007127DE"/>
    <w:rsid w:val="00734161"/>
    <w:rsid w:val="007370E5"/>
    <w:rsid w:val="007376AA"/>
    <w:rsid w:val="00737731"/>
    <w:rsid w:val="0074228A"/>
    <w:rsid w:val="0074326F"/>
    <w:rsid w:val="00762B96"/>
    <w:rsid w:val="00770A49"/>
    <w:rsid w:val="00775387"/>
    <w:rsid w:val="007816A2"/>
    <w:rsid w:val="00786A4E"/>
    <w:rsid w:val="007B6BFB"/>
    <w:rsid w:val="007C4AA3"/>
    <w:rsid w:val="007E6F84"/>
    <w:rsid w:val="007F2DBD"/>
    <w:rsid w:val="007F50AE"/>
    <w:rsid w:val="007F5B26"/>
    <w:rsid w:val="0084738F"/>
    <w:rsid w:val="00863372"/>
    <w:rsid w:val="008638C0"/>
    <w:rsid w:val="00866F7C"/>
    <w:rsid w:val="00870F15"/>
    <w:rsid w:val="008867FC"/>
    <w:rsid w:val="008872DD"/>
    <w:rsid w:val="00890A05"/>
    <w:rsid w:val="0089160C"/>
    <w:rsid w:val="00896929"/>
    <w:rsid w:val="00897866"/>
    <w:rsid w:val="008B710A"/>
    <w:rsid w:val="008C1680"/>
    <w:rsid w:val="008C6902"/>
    <w:rsid w:val="008D692D"/>
    <w:rsid w:val="008E5F93"/>
    <w:rsid w:val="008F60C2"/>
    <w:rsid w:val="008F7D27"/>
    <w:rsid w:val="00902B5F"/>
    <w:rsid w:val="00913E22"/>
    <w:rsid w:val="00931C79"/>
    <w:rsid w:val="0093701E"/>
    <w:rsid w:val="00961FE6"/>
    <w:rsid w:val="00970B16"/>
    <w:rsid w:val="009A4A1C"/>
    <w:rsid w:val="009B0FB5"/>
    <w:rsid w:val="009B1794"/>
    <w:rsid w:val="009C06BE"/>
    <w:rsid w:val="009C407A"/>
    <w:rsid w:val="009F5C77"/>
    <w:rsid w:val="00A01684"/>
    <w:rsid w:val="00A12659"/>
    <w:rsid w:val="00A12E8C"/>
    <w:rsid w:val="00A17ECE"/>
    <w:rsid w:val="00A35D00"/>
    <w:rsid w:val="00A37349"/>
    <w:rsid w:val="00A45D67"/>
    <w:rsid w:val="00A60174"/>
    <w:rsid w:val="00A71E01"/>
    <w:rsid w:val="00A80BFE"/>
    <w:rsid w:val="00A8521C"/>
    <w:rsid w:val="00A96AC2"/>
    <w:rsid w:val="00AA1934"/>
    <w:rsid w:val="00AB5D50"/>
    <w:rsid w:val="00AB76BE"/>
    <w:rsid w:val="00AD432A"/>
    <w:rsid w:val="00AF0BA3"/>
    <w:rsid w:val="00AF3DF4"/>
    <w:rsid w:val="00AF7E26"/>
    <w:rsid w:val="00B02609"/>
    <w:rsid w:val="00B1306A"/>
    <w:rsid w:val="00B21550"/>
    <w:rsid w:val="00B21CD0"/>
    <w:rsid w:val="00B257F6"/>
    <w:rsid w:val="00B415AE"/>
    <w:rsid w:val="00B44BA5"/>
    <w:rsid w:val="00B6141A"/>
    <w:rsid w:val="00B643C9"/>
    <w:rsid w:val="00B74230"/>
    <w:rsid w:val="00B76CB1"/>
    <w:rsid w:val="00B83288"/>
    <w:rsid w:val="00B86D4F"/>
    <w:rsid w:val="00B97CF7"/>
    <w:rsid w:val="00BC3632"/>
    <w:rsid w:val="00BD1A91"/>
    <w:rsid w:val="00BF5D90"/>
    <w:rsid w:val="00C15A4D"/>
    <w:rsid w:val="00C2259D"/>
    <w:rsid w:val="00C240A0"/>
    <w:rsid w:val="00C25C8C"/>
    <w:rsid w:val="00C277C2"/>
    <w:rsid w:val="00C42E19"/>
    <w:rsid w:val="00C5037E"/>
    <w:rsid w:val="00C63F42"/>
    <w:rsid w:val="00C72316"/>
    <w:rsid w:val="00C815C2"/>
    <w:rsid w:val="00C82009"/>
    <w:rsid w:val="00C82EFA"/>
    <w:rsid w:val="00C87527"/>
    <w:rsid w:val="00CA2E25"/>
    <w:rsid w:val="00CB2B0E"/>
    <w:rsid w:val="00CC03AA"/>
    <w:rsid w:val="00CC0ED6"/>
    <w:rsid w:val="00CC44DA"/>
    <w:rsid w:val="00CD0551"/>
    <w:rsid w:val="00CD3DC6"/>
    <w:rsid w:val="00CE2C41"/>
    <w:rsid w:val="00CE6907"/>
    <w:rsid w:val="00CF7D05"/>
    <w:rsid w:val="00D07996"/>
    <w:rsid w:val="00D20FEF"/>
    <w:rsid w:val="00D2506B"/>
    <w:rsid w:val="00D47936"/>
    <w:rsid w:val="00D54275"/>
    <w:rsid w:val="00D62447"/>
    <w:rsid w:val="00D65273"/>
    <w:rsid w:val="00D911FF"/>
    <w:rsid w:val="00D974E0"/>
    <w:rsid w:val="00DA4349"/>
    <w:rsid w:val="00DB0230"/>
    <w:rsid w:val="00DB4524"/>
    <w:rsid w:val="00DB47E7"/>
    <w:rsid w:val="00DB6EA2"/>
    <w:rsid w:val="00DC16FD"/>
    <w:rsid w:val="00DD402F"/>
    <w:rsid w:val="00DF0F65"/>
    <w:rsid w:val="00E01571"/>
    <w:rsid w:val="00E21BE2"/>
    <w:rsid w:val="00E2632C"/>
    <w:rsid w:val="00E32FE2"/>
    <w:rsid w:val="00E40671"/>
    <w:rsid w:val="00E509F3"/>
    <w:rsid w:val="00E50BA2"/>
    <w:rsid w:val="00E50F61"/>
    <w:rsid w:val="00E54A1D"/>
    <w:rsid w:val="00E55617"/>
    <w:rsid w:val="00E811CC"/>
    <w:rsid w:val="00E82CB6"/>
    <w:rsid w:val="00E91846"/>
    <w:rsid w:val="00E9203B"/>
    <w:rsid w:val="00E9340C"/>
    <w:rsid w:val="00E96C8C"/>
    <w:rsid w:val="00EA3714"/>
    <w:rsid w:val="00EA7083"/>
    <w:rsid w:val="00ED7EB5"/>
    <w:rsid w:val="00EE0DD7"/>
    <w:rsid w:val="00EE3A86"/>
    <w:rsid w:val="00F00EB1"/>
    <w:rsid w:val="00F034A9"/>
    <w:rsid w:val="00F04FA1"/>
    <w:rsid w:val="00F224E1"/>
    <w:rsid w:val="00F3191C"/>
    <w:rsid w:val="00F41843"/>
    <w:rsid w:val="00F65402"/>
    <w:rsid w:val="00F86162"/>
    <w:rsid w:val="00FA1FBA"/>
    <w:rsid w:val="00FA539E"/>
    <w:rsid w:val="00FA594F"/>
    <w:rsid w:val="00FC4B13"/>
    <w:rsid w:val="00FD3F41"/>
    <w:rsid w:val="00FD5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EF0C"/>
  <w15:docId w15:val="{182FAB22-F730-4856-BDB0-A060B431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o Sans Pro" w:eastAsiaTheme="minorHAnsi" w:hAnsi="Neo Sans Pro" w:cstheme="minorBidi"/>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05"/>
    <w:rPr>
      <w:rFonts w:ascii="Tahoma" w:eastAsiaTheme="minorEastAsia" w:hAnsi="Tahoma"/>
      <w:szCs w:val="22"/>
      <w:lang w:eastAsia="fr-FR"/>
    </w:rPr>
  </w:style>
  <w:style w:type="paragraph" w:styleId="Titre1">
    <w:name w:val="heading 1"/>
    <w:basedOn w:val="Parties"/>
    <w:next w:val="Parties"/>
    <w:link w:val="Titre1Car"/>
    <w:qFormat/>
    <w:rsid w:val="00B97CF7"/>
    <w:pPr>
      <w:keepNext/>
      <w:jc w:val="left"/>
      <w:outlineLvl w:val="0"/>
    </w:pPr>
    <w:rPr>
      <w:rFonts w:eastAsia="Times New Roman" w:cs="Times New Roman"/>
      <w:snapToGrid w:val="0"/>
      <w:sz w:val="24"/>
    </w:rPr>
  </w:style>
  <w:style w:type="paragraph" w:styleId="Titre2">
    <w:name w:val="heading 2"/>
    <w:basedOn w:val="Normal"/>
    <w:next w:val="Normal"/>
    <w:link w:val="Titre2Car"/>
    <w:qFormat/>
    <w:rsid w:val="009A4A1C"/>
    <w:pPr>
      <w:keepNext/>
      <w:tabs>
        <w:tab w:val="left" w:pos="426"/>
        <w:tab w:val="left" w:pos="490"/>
      </w:tabs>
      <w:outlineLvl w:val="1"/>
    </w:pPr>
    <w:rPr>
      <w:rFonts w:ascii="FrankfurtGothic" w:eastAsia="Times New Roman" w:hAnsi="FrankfurtGothic" w:cs="Times New Roman"/>
      <w:b/>
      <w:smallCaps/>
      <w:snapToGrid w:val="0"/>
      <w:w w:val="90"/>
      <w:sz w:val="15"/>
    </w:rPr>
  </w:style>
  <w:style w:type="paragraph" w:styleId="Titre3">
    <w:name w:val="heading 3"/>
    <w:basedOn w:val="Normal"/>
    <w:next w:val="Normal"/>
    <w:link w:val="Titre3Car"/>
    <w:uiPriority w:val="9"/>
    <w:qFormat/>
    <w:rsid w:val="009A4A1C"/>
    <w:pPr>
      <w:keepNext/>
      <w:tabs>
        <w:tab w:val="left" w:pos="426"/>
        <w:tab w:val="left" w:pos="490"/>
      </w:tabs>
      <w:outlineLvl w:val="2"/>
    </w:pPr>
    <w:rPr>
      <w:rFonts w:ascii="FrankfurtGothic" w:eastAsia="Times New Roman" w:hAnsi="FrankfurtGothic" w:cs="Times New Roman"/>
      <w:b/>
      <w:caps/>
      <w:snapToGrid w:val="0"/>
      <w:color w:val="000000"/>
      <w:w w:val="90"/>
      <w:sz w:val="15"/>
    </w:rPr>
  </w:style>
  <w:style w:type="paragraph" w:styleId="Titre6">
    <w:name w:val="heading 6"/>
    <w:basedOn w:val="Normal"/>
    <w:next w:val="Normal"/>
    <w:link w:val="Titre6Car"/>
    <w:qFormat/>
    <w:rsid w:val="009A4A1C"/>
    <w:pPr>
      <w:spacing w:before="240" w:after="60"/>
      <w:outlineLvl w:val="5"/>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9A4A1C"/>
  </w:style>
  <w:style w:type="paragraph" w:customStyle="1" w:styleId="chapeau">
    <w:name w:val="chapeau"/>
    <w:basedOn w:val="Normal"/>
    <w:rsid w:val="009A4A1C"/>
    <w:pPr>
      <w:spacing w:before="100" w:beforeAutospacing="1" w:after="100" w:afterAutospacing="1"/>
    </w:pPr>
    <w:rPr>
      <w:rFonts w:ascii="Times New Roman" w:eastAsia="Times New Roman" w:hAnsi="Times New Roman" w:cs="Times New Roman"/>
      <w:sz w:val="24"/>
      <w:szCs w:val="24"/>
    </w:rPr>
  </w:style>
  <w:style w:type="paragraph" w:customStyle="1" w:styleId="para">
    <w:name w:val="para"/>
    <w:basedOn w:val="Normal"/>
    <w:rsid w:val="009A4A1C"/>
    <w:pPr>
      <w:spacing w:before="100" w:beforeAutospacing="1" w:after="100" w:afterAutospacing="1"/>
    </w:pPr>
    <w:rPr>
      <w:rFonts w:ascii="Times New Roman" w:eastAsia="Times New Roman" w:hAnsi="Times New Roman" w:cs="Times New Roman"/>
      <w:sz w:val="24"/>
      <w:szCs w:val="24"/>
    </w:rPr>
  </w:style>
  <w:style w:type="paragraph" w:customStyle="1" w:styleId="first-para">
    <w:name w:val="first-para"/>
    <w:basedOn w:val="Normal"/>
    <w:rsid w:val="009A4A1C"/>
    <w:pPr>
      <w:spacing w:before="100" w:beforeAutospacing="1" w:after="100" w:afterAutospacing="1"/>
    </w:pPr>
    <w:rPr>
      <w:rFonts w:ascii="Times New Roman" w:eastAsia="Times New Roman" w:hAnsi="Times New Roman" w:cs="Times New Roman"/>
      <w:sz w:val="24"/>
      <w:szCs w:val="24"/>
    </w:rPr>
  </w:style>
  <w:style w:type="paragraph" w:customStyle="1" w:styleId="Listepucesrondes">
    <w:name w:val="Liste puces rondes"/>
    <w:basedOn w:val="Titre"/>
    <w:rsid w:val="009A4A1C"/>
    <w:pPr>
      <w:numPr>
        <w:numId w:val="5"/>
      </w:numPr>
      <w:tabs>
        <w:tab w:val="left" w:pos="284"/>
        <w:tab w:val="left" w:pos="567"/>
        <w:tab w:val="left" w:pos="851"/>
        <w:tab w:val="left" w:pos="1134"/>
        <w:tab w:val="left" w:pos="1418"/>
      </w:tabs>
      <w:jc w:val="both"/>
    </w:pPr>
    <w:rPr>
      <w:rFonts w:ascii="Neo Sans Pro" w:eastAsia="Times New Roman" w:hAnsi="Neo Sans Pro" w:cs="Times New Roman"/>
      <w:sz w:val="20"/>
    </w:rPr>
  </w:style>
  <w:style w:type="paragraph" w:styleId="Titre">
    <w:name w:val="Title"/>
    <w:basedOn w:val="Normal"/>
    <w:link w:val="TitreCar"/>
    <w:qFormat/>
    <w:rsid w:val="009A4A1C"/>
    <w:pPr>
      <w:jc w:val="center"/>
    </w:pPr>
    <w:rPr>
      <w:rFonts w:ascii="Times New Roman" w:eastAsiaTheme="majorEastAsia" w:hAnsi="Times New Roman" w:cstheme="majorBidi"/>
      <w:sz w:val="24"/>
    </w:rPr>
  </w:style>
  <w:style w:type="character" w:customStyle="1" w:styleId="TitreCar">
    <w:name w:val="Titre Car"/>
    <w:basedOn w:val="Policepardfaut"/>
    <w:link w:val="Titre"/>
    <w:rsid w:val="009A4A1C"/>
    <w:rPr>
      <w:rFonts w:ascii="Times New Roman" w:eastAsiaTheme="majorEastAsia" w:hAnsi="Times New Roman" w:cstheme="majorBidi"/>
      <w:sz w:val="24"/>
      <w:szCs w:val="20"/>
      <w:lang w:eastAsia="fr-FR"/>
    </w:rPr>
  </w:style>
  <w:style w:type="table" w:customStyle="1" w:styleId="Grilledutableau1">
    <w:name w:val="Grille du tableau1"/>
    <w:basedOn w:val="TableauNormal"/>
    <w:next w:val="Grilledutableau"/>
    <w:uiPriority w:val="59"/>
    <w:rsid w:val="009A4A1C"/>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9A4A1C"/>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04D9B"/>
    <w:pPr>
      <w:autoSpaceDE w:val="0"/>
      <w:autoSpaceDN w:val="0"/>
      <w:adjustRightInd w:val="0"/>
    </w:pPr>
    <w:rPr>
      <w:rFonts w:eastAsia="Calibri" w:cs="Arial"/>
      <w:color w:val="000000"/>
      <w:szCs w:val="24"/>
      <w:lang w:eastAsia="fr-FR"/>
    </w:rPr>
  </w:style>
  <w:style w:type="paragraph" w:customStyle="1" w:styleId="Sous-titrebleu">
    <w:name w:val="Sous-titre bleu"/>
    <w:basedOn w:val="Paragraphedeliste"/>
    <w:rsid w:val="009A4A1C"/>
    <w:pPr>
      <w:tabs>
        <w:tab w:val="left" w:pos="216"/>
      </w:tabs>
      <w:ind w:left="0"/>
      <w:jc w:val="both"/>
    </w:pPr>
    <w:rPr>
      <w:rFonts w:eastAsia="Calibri" w:cs="Tahoma"/>
      <w:b/>
      <w:bCs/>
      <w:snapToGrid w:val="0"/>
      <w:color w:val="0074BB"/>
      <w:u w:val="single"/>
    </w:rPr>
  </w:style>
  <w:style w:type="paragraph" w:styleId="Paragraphedeliste">
    <w:name w:val="List Paragraph"/>
    <w:basedOn w:val="Normal"/>
    <w:uiPriority w:val="34"/>
    <w:qFormat/>
    <w:rsid w:val="009A4A1C"/>
    <w:pPr>
      <w:ind w:left="720"/>
      <w:contextualSpacing/>
    </w:pPr>
  </w:style>
  <w:style w:type="paragraph" w:customStyle="1" w:styleId="Puce">
    <w:name w:val="Puce"/>
    <w:basedOn w:val="Paragraphedeliste"/>
    <w:qFormat/>
    <w:rsid w:val="009A4A1C"/>
    <w:pPr>
      <w:tabs>
        <w:tab w:val="left" w:pos="148"/>
      </w:tabs>
      <w:autoSpaceDE w:val="0"/>
      <w:autoSpaceDN w:val="0"/>
      <w:adjustRightInd w:val="0"/>
      <w:ind w:left="0"/>
      <w:jc w:val="both"/>
    </w:pPr>
    <w:rPr>
      <w:rFonts w:eastAsia="Calibri" w:cs="Tahoma"/>
      <w:snapToGrid w:val="0"/>
    </w:rPr>
  </w:style>
  <w:style w:type="paragraph" w:customStyle="1" w:styleId="Question">
    <w:name w:val="Question"/>
    <w:basedOn w:val="Normal"/>
    <w:qFormat/>
    <w:rsid w:val="009A4A1C"/>
    <w:pPr>
      <w:jc w:val="center"/>
    </w:pPr>
    <w:rPr>
      <w:rFonts w:eastAsia="Calibri" w:cs="Tahoma"/>
      <w:bCs/>
      <w:snapToGrid w:val="0"/>
      <w:sz w:val="24"/>
      <w:szCs w:val="24"/>
    </w:rPr>
  </w:style>
  <w:style w:type="paragraph" w:customStyle="1" w:styleId="Tiret">
    <w:name w:val="Tiret"/>
    <w:basedOn w:val="Puce"/>
    <w:qFormat/>
    <w:rsid w:val="009A4A1C"/>
    <w:pPr>
      <w:ind w:left="315" w:hanging="141"/>
    </w:pPr>
  </w:style>
  <w:style w:type="paragraph" w:customStyle="1" w:styleId="Flche">
    <w:name w:val="Flèche"/>
    <w:basedOn w:val="Puce"/>
    <w:qFormat/>
    <w:rsid w:val="009A4A1C"/>
  </w:style>
  <w:style w:type="paragraph" w:customStyle="1" w:styleId="TableParagraph">
    <w:name w:val="Table Paragraph"/>
    <w:basedOn w:val="Normal"/>
    <w:uiPriority w:val="1"/>
    <w:qFormat/>
    <w:rsid w:val="009A4A1C"/>
    <w:pPr>
      <w:widowControl w:val="0"/>
    </w:pPr>
    <w:rPr>
      <w:rFonts w:eastAsia="Tahoma" w:cs="Tahoma"/>
      <w:color w:val="00000A"/>
      <w:lang w:val="en-US"/>
    </w:rPr>
  </w:style>
  <w:style w:type="table" w:customStyle="1" w:styleId="TableNormal">
    <w:name w:val="Table Normal"/>
    <w:uiPriority w:val="2"/>
    <w:semiHidden/>
    <w:unhideWhenUsed/>
    <w:qFormat/>
    <w:rsid w:val="009A4A1C"/>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Titre1Car">
    <w:name w:val="Titre 1 Car"/>
    <w:basedOn w:val="Policepardfaut"/>
    <w:link w:val="Titre1"/>
    <w:rsid w:val="00B97CF7"/>
    <w:rPr>
      <w:rFonts w:eastAsia="Times New Roman" w:cs="Times New Roman"/>
      <w:b/>
      <w:bCs/>
      <w:caps/>
      <w:snapToGrid w:val="0"/>
      <w:color w:val="FFFFFF" w:themeColor="background1"/>
      <w:kern w:val="0"/>
      <w:sz w:val="24"/>
      <w:szCs w:val="32"/>
      <w:shd w:val="clear" w:color="auto" w:fill="005387"/>
      <w14:ligatures w14:val="none"/>
    </w:rPr>
  </w:style>
  <w:style w:type="character" w:customStyle="1" w:styleId="Titre2Car">
    <w:name w:val="Titre 2 Car"/>
    <w:basedOn w:val="Policepardfaut"/>
    <w:link w:val="Titre2"/>
    <w:rsid w:val="009A4A1C"/>
    <w:rPr>
      <w:rFonts w:ascii="FrankfurtGothic" w:eastAsia="Times New Roman" w:hAnsi="FrankfurtGothic" w:cs="Times New Roman"/>
      <w:b/>
      <w:smallCaps/>
      <w:snapToGrid w:val="0"/>
      <w:w w:val="90"/>
      <w:sz w:val="15"/>
      <w:szCs w:val="20"/>
      <w:lang w:eastAsia="fr-FR"/>
    </w:rPr>
  </w:style>
  <w:style w:type="character" w:customStyle="1" w:styleId="Titre3Car">
    <w:name w:val="Titre 3 Car"/>
    <w:basedOn w:val="Policepardfaut"/>
    <w:link w:val="Titre3"/>
    <w:uiPriority w:val="9"/>
    <w:rsid w:val="009A4A1C"/>
    <w:rPr>
      <w:rFonts w:ascii="FrankfurtGothic" w:eastAsia="Times New Roman" w:hAnsi="FrankfurtGothic" w:cs="Times New Roman"/>
      <w:b/>
      <w:caps/>
      <w:snapToGrid w:val="0"/>
      <w:color w:val="000000"/>
      <w:w w:val="90"/>
      <w:sz w:val="15"/>
      <w:szCs w:val="20"/>
      <w:lang w:eastAsia="fr-FR"/>
    </w:rPr>
  </w:style>
  <w:style w:type="character" w:customStyle="1" w:styleId="Titre6Car">
    <w:name w:val="Titre 6 Car"/>
    <w:basedOn w:val="Policepardfaut"/>
    <w:link w:val="Titre6"/>
    <w:rsid w:val="009A4A1C"/>
    <w:rPr>
      <w:rFonts w:ascii="Times New Roman" w:eastAsia="Times New Roman" w:hAnsi="Times New Roman" w:cs="Times New Roman"/>
      <w:b/>
      <w:bCs/>
      <w:lang w:eastAsia="fr-FR"/>
    </w:rPr>
  </w:style>
  <w:style w:type="paragraph" w:styleId="Commentaire">
    <w:name w:val="annotation text"/>
    <w:basedOn w:val="Normal"/>
    <w:link w:val="CommentaireCar"/>
    <w:uiPriority w:val="99"/>
    <w:unhideWhenUsed/>
    <w:rsid w:val="009A4A1C"/>
    <w:rPr>
      <w:rFonts w:ascii="Times New Roman" w:eastAsia="Times New Roman" w:hAnsi="Times New Roman" w:cs="Times New Roman"/>
    </w:rPr>
  </w:style>
  <w:style w:type="character" w:customStyle="1" w:styleId="CommentaireCar">
    <w:name w:val="Commentaire Car"/>
    <w:basedOn w:val="Policepardfaut"/>
    <w:link w:val="Commentaire"/>
    <w:uiPriority w:val="99"/>
    <w:rsid w:val="009A4A1C"/>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9A4A1C"/>
    <w:pPr>
      <w:tabs>
        <w:tab w:val="center" w:pos="4536"/>
        <w:tab w:val="right" w:pos="9072"/>
      </w:tabs>
    </w:pPr>
  </w:style>
  <w:style w:type="character" w:customStyle="1" w:styleId="En-tteCar">
    <w:name w:val="En-tête Car"/>
    <w:basedOn w:val="Policepardfaut"/>
    <w:link w:val="En-tte"/>
    <w:uiPriority w:val="99"/>
    <w:rsid w:val="009A4A1C"/>
    <w:rPr>
      <w:rFonts w:ascii="Neo Sans Pro" w:eastAsiaTheme="minorEastAsia" w:hAnsi="Neo Sans Pro"/>
      <w:lang w:eastAsia="fr-FR"/>
    </w:rPr>
  </w:style>
  <w:style w:type="paragraph" w:styleId="Pieddepage">
    <w:name w:val="footer"/>
    <w:basedOn w:val="Normal"/>
    <w:link w:val="PieddepageCar"/>
    <w:unhideWhenUsed/>
    <w:rsid w:val="009A4A1C"/>
    <w:pPr>
      <w:tabs>
        <w:tab w:val="center" w:pos="4536"/>
        <w:tab w:val="right" w:pos="9072"/>
      </w:tabs>
    </w:pPr>
  </w:style>
  <w:style w:type="character" w:customStyle="1" w:styleId="PieddepageCar">
    <w:name w:val="Pied de page Car"/>
    <w:basedOn w:val="Policepardfaut"/>
    <w:link w:val="Pieddepage"/>
    <w:rsid w:val="009A4A1C"/>
    <w:rPr>
      <w:rFonts w:ascii="Neo Sans Pro" w:eastAsiaTheme="minorEastAsia" w:hAnsi="Neo Sans Pro"/>
      <w:lang w:eastAsia="fr-FR"/>
    </w:rPr>
  </w:style>
  <w:style w:type="character" w:styleId="Marquedecommentaire">
    <w:name w:val="annotation reference"/>
    <w:basedOn w:val="Policepardfaut"/>
    <w:uiPriority w:val="99"/>
    <w:semiHidden/>
    <w:unhideWhenUsed/>
    <w:rsid w:val="009A4A1C"/>
    <w:rPr>
      <w:sz w:val="16"/>
      <w:szCs w:val="16"/>
    </w:rPr>
  </w:style>
  <w:style w:type="character" w:styleId="Numrodepage">
    <w:name w:val="page number"/>
    <w:basedOn w:val="Policepardfaut"/>
    <w:rsid w:val="009A4A1C"/>
  </w:style>
  <w:style w:type="paragraph" w:styleId="Corpsdetexte">
    <w:name w:val="Body Text"/>
    <w:basedOn w:val="Normal"/>
    <w:link w:val="CorpsdetexteCar"/>
    <w:uiPriority w:val="99"/>
    <w:semiHidden/>
    <w:unhideWhenUsed/>
    <w:rsid w:val="009A4A1C"/>
    <w:pPr>
      <w:spacing w:after="120"/>
    </w:pPr>
  </w:style>
  <w:style w:type="character" w:customStyle="1" w:styleId="CorpsdetexteCar">
    <w:name w:val="Corps de texte Car"/>
    <w:basedOn w:val="Policepardfaut"/>
    <w:link w:val="Corpsdetexte"/>
    <w:uiPriority w:val="99"/>
    <w:semiHidden/>
    <w:rsid w:val="009A4A1C"/>
    <w:rPr>
      <w:rFonts w:ascii="Neo Sans Pro" w:eastAsiaTheme="minorEastAsia" w:hAnsi="Neo Sans Pro"/>
      <w:lang w:eastAsia="fr-FR"/>
    </w:rPr>
  </w:style>
  <w:style w:type="paragraph" w:styleId="Sous-titre">
    <w:name w:val="Subtitle"/>
    <w:basedOn w:val="Normal"/>
    <w:next w:val="Normal"/>
    <w:link w:val="Sous-titreCar"/>
    <w:uiPriority w:val="11"/>
    <w:qFormat/>
    <w:rsid w:val="009A4A1C"/>
    <w:pPr>
      <w:numPr>
        <w:ilvl w:val="1"/>
      </w:numPr>
      <w:spacing w:after="160"/>
    </w:pPr>
    <w:rPr>
      <w:rFonts w:asciiTheme="minorHAnsi" w:hAnsiTheme="minorHAnsi"/>
      <w:color w:val="5A5A5A" w:themeColor="text1" w:themeTint="A5"/>
      <w:spacing w:val="15"/>
    </w:rPr>
  </w:style>
  <w:style w:type="character" w:customStyle="1" w:styleId="Sous-titreCar">
    <w:name w:val="Sous-titre Car"/>
    <w:basedOn w:val="Policepardfaut"/>
    <w:link w:val="Sous-titre"/>
    <w:uiPriority w:val="11"/>
    <w:rsid w:val="009A4A1C"/>
    <w:rPr>
      <w:rFonts w:eastAsiaTheme="minorEastAsia"/>
      <w:color w:val="5A5A5A" w:themeColor="text1" w:themeTint="A5"/>
      <w:spacing w:val="15"/>
      <w:lang w:eastAsia="fr-FR"/>
    </w:rPr>
  </w:style>
  <w:style w:type="paragraph" w:styleId="Corpsdetexte2">
    <w:name w:val="Body Text 2"/>
    <w:basedOn w:val="Normal"/>
    <w:link w:val="Corpsdetexte2Car"/>
    <w:uiPriority w:val="99"/>
    <w:unhideWhenUsed/>
    <w:rsid w:val="009A4A1C"/>
    <w:pPr>
      <w:spacing w:after="120" w:line="480" w:lineRule="auto"/>
    </w:pPr>
    <w:rPr>
      <w:rFonts w:ascii="Times New Roman" w:eastAsia="Times New Roman" w:hAnsi="Times New Roman" w:cs="Times New Roman"/>
    </w:rPr>
  </w:style>
  <w:style w:type="character" w:customStyle="1" w:styleId="Corpsdetexte2Car">
    <w:name w:val="Corps de texte 2 Car"/>
    <w:basedOn w:val="Policepardfaut"/>
    <w:link w:val="Corpsdetexte2"/>
    <w:uiPriority w:val="99"/>
    <w:rsid w:val="009A4A1C"/>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unhideWhenUsed/>
    <w:rsid w:val="009A4A1C"/>
    <w:pPr>
      <w:spacing w:after="120"/>
      <w:ind w:left="283"/>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uiPriority w:val="99"/>
    <w:rsid w:val="009A4A1C"/>
    <w:rPr>
      <w:rFonts w:ascii="Times New Roman" w:eastAsia="Times New Roman" w:hAnsi="Times New Roman" w:cs="Times New Roman"/>
      <w:sz w:val="16"/>
      <w:szCs w:val="16"/>
      <w:lang w:eastAsia="fr-FR"/>
    </w:rPr>
  </w:style>
  <w:style w:type="paragraph" w:styleId="Normalcentr">
    <w:name w:val="Block Text"/>
    <w:basedOn w:val="Normal"/>
    <w:rsid w:val="009A4A1C"/>
    <w:pPr>
      <w:ind w:left="1134" w:right="-284"/>
      <w:jc w:val="both"/>
    </w:pPr>
    <w:rPr>
      <w:rFonts w:ascii="ITC Officina Sans Book" w:eastAsia="Times New Roman" w:hAnsi="ITC Officina Sans Book" w:cs="Times New Roman"/>
    </w:rPr>
  </w:style>
  <w:style w:type="character" w:styleId="Lienhypertexte">
    <w:name w:val="Hyperlink"/>
    <w:uiPriority w:val="99"/>
    <w:rsid w:val="009A4A1C"/>
    <w:rPr>
      <w:color w:val="0000FF"/>
      <w:u w:val="single"/>
    </w:rPr>
  </w:style>
  <w:style w:type="character" w:styleId="Lienhypertextesuivivisit">
    <w:name w:val="FollowedHyperlink"/>
    <w:uiPriority w:val="99"/>
    <w:semiHidden/>
    <w:unhideWhenUsed/>
    <w:rsid w:val="009A4A1C"/>
    <w:rPr>
      <w:color w:val="800080"/>
      <w:u w:val="single"/>
    </w:rPr>
  </w:style>
  <w:style w:type="character" w:styleId="lev">
    <w:name w:val="Strong"/>
    <w:basedOn w:val="Policepardfaut"/>
    <w:qFormat/>
    <w:rsid w:val="009A4A1C"/>
    <w:rPr>
      <w:b/>
      <w:bCs/>
    </w:rPr>
  </w:style>
  <w:style w:type="character" w:styleId="Accentuation">
    <w:name w:val="Emphasis"/>
    <w:uiPriority w:val="20"/>
    <w:qFormat/>
    <w:rsid w:val="009A4A1C"/>
    <w:rPr>
      <w:i/>
      <w:iCs/>
    </w:rPr>
  </w:style>
  <w:style w:type="paragraph" w:styleId="NormalWeb">
    <w:name w:val="Normal (Web)"/>
    <w:basedOn w:val="Normal"/>
    <w:uiPriority w:val="99"/>
    <w:semiHidden/>
    <w:unhideWhenUsed/>
    <w:rsid w:val="009A4A1C"/>
    <w:pPr>
      <w:spacing w:before="100" w:beforeAutospacing="1" w:after="100" w:afterAutospacing="1"/>
    </w:pPr>
    <w:rPr>
      <w:rFonts w:ascii="Times New Roman" w:eastAsia="Times New Roman" w:hAnsi="Times New Roman" w:cs="Times New Roman"/>
      <w:sz w:val="24"/>
      <w:szCs w:val="24"/>
    </w:rPr>
  </w:style>
  <w:style w:type="character" w:styleId="CitationHTML">
    <w:name w:val="HTML Cite"/>
    <w:uiPriority w:val="99"/>
    <w:semiHidden/>
    <w:unhideWhenUsed/>
    <w:rsid w:val="009A4A1C"/>
    <w:rPr>
      <w:i/>
      <w:iCs/>
    </w:rPr>
  </w:style>
  <w:style w:type="paragraph" w:styleId="Textedebulles">
    <w:name w:val="Balloon Text"/>
    <w:basedOn w:val="Normal"/>
    <w:link w:val="TextedebullesCar"/>
    <w:uiPriority w:val="99"/>
    <w:semiHidden/>
    <w:unhideWhenUsed/>
    <w:rsid w:val="009A4A1C"/>
    <w:rPr>
      <w:rFonts w:cs="Tahoma"/>
      <w:sz w:val="16"/>
      <w:szCs w:val="16"/>
    </w:rPr>
  </w:style>
  <w:style w:type="character" w:customStyle="1" w:styleId="TextedebullesCar">
    <w:name w:val="Texte de bulles Car"/>
    <w:basedOn w:val="Policepardfaut"/>
    <w:link w:val="Textedebulles"/>
    <w:uiPriority w:val="99"/>
    <w:semiHidden/>
    <w:rsid w:val="009A4A1C"/>
    <w:rPr>
      <w:rFonts w:ascii="Tahoma" w:eastAsiaTheme="minorEastAsia" w:hAnsi="Tahoma" w:cs="Tahoma"/>
      <w:sz w:val="16"/>
      <w:szCs w:val="16"/>
      <w:lang w:eastAsia="fr-FR"/>
    </w:rPr>
  </w:style>
  <w:style w:type="paragraph" w:styleId="Sansinterligne">
    <w:name w:val="No Spacing"/>
    <w:uiPriority w:val="1"/>
    <w:qFormat/>
    <w:rsid w:val="009A4A1C"/>
    <w:rPr>
      <w:rFonts w:eastAsiaTheme="minorEastAsia"/>
      <w:lang w:eastAsia="fr-FR"/>
    </w:rPr>
  </w:style>
  <w:style w:type="character" w:styleId="Mentionnonrsolue">
    <w:name w:val="Unresolved Mention"/>
    <w:basedOn w:val="Policepardfaut"/>
    <w:uiPriority w:val="99"/>
    <w:semiHidden/>
    <w:unhideWhenUsed/>
    <w:rsid w:val="009A4A1C"/>
    <w:rPr>
      <w:color w:val="605E5C"/>
      <w:shd w:val="clear" w:color="auto" w:fill="E1DFDD"/>
    </w:rPr>
  </w:style>
  <w:style w:type="paragraph" w:styleId="Notedebasdepage">
    <w:name w:val="footnote text"/>
    <w:basedOn w:val="Normal"/>
    <w:link w:val="NotedebasdepageCar"/>
    <w:uiPriority w:val="99"/>
    <w:unhideWhenUsed/>
    <w:rsid w:val="008B710A"/>
    <w:rPr>
      <w:szCs w:val="20"/>
    </w:rPr>
  </w:style>
  <w:style w:type="character" w:customStyle="1" w:styleId="NotedebasdepageCar">
    <w:name w:val="Note de bas de page Car"/>
    <w:basedOn w:val="Policepardfaut"/>
    <w:link w:val="Notedebasdepage"/>
    <w:uiPriority w:val="99"/>
    <w:rsid w:val="008B710A"/>
    <w:rPr>
      <w:rFonts w:eastAsiaTheme="minorEastAsia"/>
      <w:lang w:eastAsia="fr-FR"/>
    </w:rPr>
  </w:style>
  <w:style w:type="character" w:styleId="Appelnotedebasdep">
    <w:name w:val="footnote reference"/>
    <w:basedOn w:val="Policepardfaut"/>
    <w:uiPriority w:val="99"/>
    <w:semiHidden/>
    <w:unhideWhenUsed/>
    <w:rsid w:val="008B710A"/>
    <w:rPr>
      <w:vertAlign w:val="superscript"/>
    </w:rPr>
  </w:style>
  <w:style w:type="character" w:customStyle="1" w:styleId="EFLnormalCar">
    <w:name w:val="EFLnormal Car"/>
    <w:link w:val="EFLnormal"/>
    <w:locked/>
    <w:rsid w:val="00E40671"/>
    <w:rPr>
      <w:color w:val="000000"/>
      <w:sz w:val="22"/>
      <w:szCs w:val="22"/>
    </w:rPr>
  </w:style>
  <w:style w:type="paragraph" w:customStyle="1" w:styleId="EFLnormal">
    <w:name w:val="EFLnormal"/>
    <w:basedOn w:val="Normal"/>
    <w:link w:val="EFLnormalCar"/>
    <w:rsid w:val="00E40671"/>
    <w:pPr>
      <w:autoSpaceDE w:val="0"/>
      <w:autoSpaceDN w:val="0"/>
      <w:spacing w:before="120" w:line="260" w:lineRule="exact"/>
      <w:jc w:val="both"/>
    </w:pPr>
    <w:rPr>
      <w:rFonts w:eastAsiaTheme="minorHAnsi"/>
      <w:color w:val="000000"/>
      <w:sz w:val="22"/>
      <w:lang w:eastAsia="en-US"/>
    </w:rPr>
  </w:style>
  <w:style w:type="paragraph" w:customStyle="1" w:styleId="EFLsignatureunique">
    <w:name w:val="EFLsignatureunique"/>
    <w:basedOn w:val="EFLnormal"/>
    <w:rsid w:val="00E40671"/>
    <w:pPr>
      <w:keepNext/>
      <w:spacing w:before="240"/>
      <w:jc w:val="right"/>
    </w:pPr>
  </w:style>
  <w:style w:type="paragraph" w:customStyle="1" w:styleId="EFLalineaattention">
    <w:name w:val="EFLalineaattention"/>
    <w:basedOn w:val="Normal"/>
    <w:rsid w:val="00E40671"/>
    <w:pPr>
      <w:autoSpaceDE w:val="0"/>
      <w:autoSpaceDN w:val="0"/>
      <w:spacing w:before="120" w:line="260" w:lineRule="exact"/>
      <w:jc w:val="both"/>
    </w:pPr>
    <w:rPr>
      <w:rFonts w:ascii="Times New Roman" w:eastAsia="Times New Roman" w:hAnsi="Times New Roman" w:cs="Times New Roman"/>
      <w:i/>
      <w:color w:val="808080" w:themeColor="background1" w:themeShade="80"/>
      <w:kern w:val="0"/>
      <w:sz w:val="22"/>
    </w:rPr>
  </w:style>
  <w:style w:type="character" w:customStyle="1" w:styleId="EFLmotgras">
    <w:name w:val="EFLmotgras"/>
    <w:rsid w:val="00E40671"/>
    <w:rPr>
      <w:b/>
      <w:bCs w:val="0"/>
    </w:rPr>
  </w:style>
  <w:style w:type="character" w:customStyle="1" w:styleId="EFLvariable">
    <w:name w:val="EFLvariable"/>
    <w:basedOn w:val="Policepardfaut"/>
    <w:rsid w:val="00E40671"/>
    <w:rPr>
      <w:i/>
      <w:iCs/>
      <w:color w:val="0070C0"/>
    </w:rPr>
  </w:style>
  <w:style w:type="paragraph" w:customStyle="1" w:styleId="EFLfin">
    <w:name w:val="EFLfin"/>
    <w:basedOn w:val="EFLnormal"/>
    <w:rsid w:val="00E40671"/>
    <w:pPr>
      <w:spacing w:before="440"/>
      <w:jc w:val="left"/>
    </w:pPr>
  </w:style>
  <w:style w:type="paragraph" w:customStyle="1" w:styleId="Parties">
    <w:name w:val="Parties"/>
    <w:basedOn w:val="Paragraphedeliste"/>
    <w:autoRedefine/>
    <w:qFormat/>
    <w:rsid w:val="00B97CF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hd w:val="clear" w:color="auto" w:fill="005387"/>
      <w:tabs>
        <w:tab w:val="left" w:pos="284"/>
      </w:tabs>
      <w:spacing w:after="120" w:line="255" w:lineRule="atLeast"/>
      <w:ind w:left="0" w:right="-2"/>
      <w:jc w:val="center"/>
    </w:pPr>
    <w:rPr>
      <w:rFonts w:ascii="Neo Sans Pro" w:eastAsia="Calibri" w:hAnsi="Neo Sans Pro" w:cs="Tahoma"/>
      <w:b/>
      <w:bCs/>
      <w:caps/>
      <w:color w:val="FFFFFF" w:themeColor="background1"/>
      <w:kern w:val="0"/>
      <w:sz w:val="32"/>
      <w:szCs w:val="32"/>
      <w:lang w:eastAsia="en-US"/>
      <w14:ligatures w14:val="none"/>
    </w:rPr>
  </w:style>
  <w:style w:type="paragraph" w:styleId="TM1">
    <w:name w:val="toc 1"/>
    <w:basedOn w:val="Normal"/>
    <w:next w:val="Normal"/>
    <w:autoRedefine/>
    <w:uiPriority w:val="39"/>
    <w:unhideWhenUsed/>
    <w:rsid w:val="00CE6907"/>
    <w:pPr>
      <w:spacing w:after="100"/>
    </w:pPr>
  </w:style>
  <w:style w:type="paragraph" w:customStyle="1" w:styleId="TRAMES">
    <w:name w:val="TRAMES"/>
    <w:basedOn w:val="Normal"/>
    <w:qFormat/>
    <w:rsid w:val="00A8521C"/>
    <w:pPr>
      <w:jc w:val="center"/>
    </w:pPr>
    <w:rPr>
      <w:rFonts w:cs="Tahoma"/>
      <w:b/>
      <w:bCs/>
      <w:smallCaps/>
      <w:szCs w:val="20"/>
    </w:rPr>
  </w:style>
  <w:style w:type="character" w:customStyle="1" w:styleId="qw-link">
    <w:name w:val="qw-link"/>
    <w:basedOn w:val="Policepardfaut"/>
    <w:rsid w:val="00B21550"/>
  </w:style>
  <w:style w:type="paragraph" w:styleId="TM2">
    <w:name w:val="toc 2"/>
    <w:basedOn w:val="Normal"/>
    <w:next w:val="Normal"/>
    <w:autoRedefine/>
    <w:uiPriority w:val="39"/>
    <w:unhideWhenUsed/>
    <w:rsid w:val="00AF0BA3"/>
    <w:pPr>
      <w:spacing w:after="100"/>
      <w:ind w:left="200"/>
    </w:pPr>
  </w:style>
  <w:style w:type="paragraph" w:customStyle="1" w:styleId="Sous-parties">
    <w:name w:val="Sous-parties"/>
    <w:basedOn w:val="Normal"/>
    <w:qFormat/>
    <w:rsid w:val="00586ECD"/>
    <w:pPr>
      <w:jc w:val="center"/>
    </w:pPr>
    <w:rPr>
      <w:rFonts w:cs="Tahoma"/>
      <w:b/>
      <w:bCs/>
      <w:sz w:val="22"/>
    </w:rPr>
  </w:style>
  <w:style w:type="paragraph" w:styleId="Objetducommentaire">
    <w:name w:val="annotation subject"/>
    <w:basedOn w:val="Commentaire"/>
    <w:next w:val="Commentaire"/>
    <w:link w:val="ObjetducommentaireCar"/>
    <w:uiPriority w:val="99"/>
    <w:semiHidden/>
    <w:unhideWhenUsed/>
    <w:rsid w:val="000251AB"/>
    <w:rPr>
      <w:rFonts w:ascii="Tahoma" w:eastAsiaTheme="minorEastAsia" w:hAnsi="Tahoma" w:cstheme="minorBidi"/>
      <w:b/>
      <w:bCs/>
      <w:szCs w:val="20"/>
    </w:rPr>
  </w:style>
  <w:style w:type="character" w:customStyle="1" w:styleId="ObjetducommentaireCar">
    <w:name w:val="Objet du commentaire Car"/>
    <w:basedOn w:val="CommentaireCar"/>
    <w:link w:val="Objetducommentaire"/>
    <w:uiPriority w:val="99"/>
    <w:semiHidden/>
    <w:rsid w:val="000251AB"/>
    <w:rPr>
      <w:rFonts w:ascii="Tahoma" w:eastAsiaTheme="minorEastAsia" w:hAnsi="Tahoma" w:cs="Times New Roman"/>
      <w:b/>
      <w:bCs/>
      <w:sz w:val="20"/>
      <w:szCs w:val="20"/>
      <w:lang w:eastAsia="fr-FR"/>
    </w:rPr>
  </w:style>
  <w:style w:type="paragraph" w:styleId="En-ttedetabledesmatires">
    <w:name w:val="TOC Heading"/>
    <w:basedOn w:val="Titre1"/>
    <w:next w:val="Normal"/>
    <w:uiPriority w:val="39"/>
    <w:unhideWhenUsed/>
    <w:qFormat/>
    <w:rsid w:val="00B97CF7"/>
    <w:pPr>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clear" w:pos="284"/>
      </w:tabs>
      <w:spacing w:before="240" w:after="0" w:line="259" w:lineRule="auto"/>
      <w:ind w:right="0"/>
      <w:contextualSpacing w:val="0"/>
      <w:outlineLvl w:val="9"/>
    </w:pPr>
    <w:rPr>
      <w:rFonts w:asciiTheme="majorHAnsi" w:eastAsiaTheme="majorEastAsia" w:hAnsiTheme="majorHAnsi" w:cstheme="majorBidi"/>
      <w:b w:val="0"/>
      <w:bCs w:val="0"/>
      <w:caps w:val="0"/>
      <w:snapToGrid/>
      <w:color w:val="2F5496" w:themeColor="accent1" w:themeShade="BF"/>
      <w:sz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566">
      <w:bodyDiv w:val="1"/>
      <w:marLeft w:val="0"/>
      <w:marRight w:val="0"/>
      <w:marTop w:val="0"/>
      <w:marBottom w:val="0"/>
      <w:divBdr>
        <w:top w:val="none" w:sz="0" w:space="0" w:color="auto"/>
        <w:left w:val="none" w:sz="0" w:space="0" w:color="auto"/>
        <w:bottom w:val="none" w:sz="0" w:space="0" w:color="auto"/>
        <w:right w:val="none" w:sz="0" w:space="0" w:color="auto"/>
      </w:divBdr>
    </w:div>
    <w:div w:id="302002872">
      <w:bodyDiv w:val="1"/>
      <w:marLeft w:val="0"/>
      <w:marRight w:val="0"/>
      <w:marTop w:val="0"/>
      <w:marBottom w:val="0"/>
      <w:divBdr>
        <w:top w:val="none" w:sz="0" w:space="0" w:color="auto"/>
        <w:left w:val="none" w:sz="0" w:space="0" w:color="auto"/>
        <w:bottom w:val="none" w:sz="0" w:space="0" w:color="auto"/>
        <w:right w:val="none" w:sz="0" w:space="0" w:color="auto"/>
      </w:divBdr>
    </w:div>
    <w:div w:id="433521874">
      <w:bodyDiv w:val="1"/>
      <w:marLeft w:val="0"/>
      <w:marRight w:val="0"/>
      <w:marTop w:val="0"/>
      <w:marBottom w:val="0"/>
      <w:divBdr>
        <w:top w:val="none" w:sz="0" w:space="0" w:color="auto"/>
        <w:left w:val="none" w:sz="0" w:space="0" w:color="auto"/>
        <w:bottom w:val="none" w:sz="0" w:space="0" w:color="auto"/>
        <w:right w:val="none" w:sz="0" w:space="0" w:color="auto"/>
      </w:divBdr>
    </w:div>
    <w:div w:id="609624791">
      <w:bodyDiv w:val="1"/>
      <w:marLeft w:val="0"/>
      <w:marRight w:val="0"/>
      <w:marTop w:val="0"/>
      <w:marBottom w:val="0"/>
      <w:divBdr>
        <w:top w:val="none" w:sz="0" w:space="0" w:color="auto"/>
        <w:left w:val="none" w:sz="0" w:space="0" w:color="auto"/>
        <w:bottom w:val="none" w:sz="0" w:space="0" w:color="auto"/>
        <w:right w:val="none" w:sz="0" w:space="0" w:color="auto"/>
      </w:divBdr>
    </w:div>
    <w:div w:id="729423685">
      <w:bodyDiv w:val="1"/>
      <w:marLeft w:val="0"/>
      <w:marRight w:val="0"/>
      <w:marTop w:val="0"/>
      <w:marBottom w:val="0"/>
      <w:divBdr>
        <w:top w:val="none" w:sz="0" w:space="0" w:color="auto"/>
        <w:left w:val="none" w:sz="0" w:space="0" w:color="auto"/>
        <w:bottom w:val="none" w:sz="0" w:space="0" w:color="auto"/>
        <w:right w:val="none" w:sz="0" w:space="0" w:color="auto"/>
      </w:divBdr>
    </w:div>
    <w:div w:id="740249575">
      <w:bodyDiv w:val="1"/>
      <w:marLeft w:val="0"/>
      <w:marRight w:val="0"/>
      <w:marTop w:val="0"/>
      <w:marBottom w:val="0"/>
      <w:divBdr>
        <w:top w:val="none" w:sz="0" w:space="0" w:color="auto"/>
        <w:left w:val="none" w:sz="0" w:space="0" w:color="auto"/>
        <w:bottom w:val="none" w:sz="0" w:space="0" w:color="auto"/>
        <w:right w:val="none" w:sz="0" w:space="0" w:color="auto"/>
      </w:divBdr>
    </w:div>
    <w:div w:id="758796795">
      <w:bodyDiv w:val="1"/>
      <w:marLeft w:val="0"/>
      <w:marRight w:val="0"/>
      <w:marTop w:val="0"/>
      <w:marBottom w:val="0"/>
      <w:divBdr>
        <w:top w:val="none" w:sz="0" w:space="0" w:color="auto"/>
        <w:left w:val="none" w:sz="0" w:space="0" w:color="auto"/>
        <w:bottom w:val="none" w:sz="0" w:space="0" w:color="auto"/>
        <w:right w:val="none" w:sz="0" w:space="0" w:color="auto"/>
      </w:divBdr>
    </w:div>
    <w:div w:id="950747835">
      <w:bodyDiv w:val="1"/>
      <w:marLeft w:val="0"/>
      <w:marRight w:val="0"/>
      <w:marTop w:val="0"/>
      <w:marBottom w:val="0"/>
      <w:divBdr>
        <w:top w:val="none" w:sz="0" w:space="0" w:color="auto"/>
        <w:left w:val="none" w:sz="0" w:space="0" w:color="auto"/>
        <w:bottom w:val="none" w:sz="0" w:space="0" w:color="auto"/>
        <w:right w:val="none" w:sz="0" w:space="0" w:color="auto"/>
      </w:divBdr>
    </w:div>
    <w:div w:id="1160656525">
      <w:bodyDiv w:val="1"/>
      <w:marLeft w:val="0"/>
      <w:marRight w:val="0"/>
      <w:marTop w:val="0"/>
      <w:marBottom w:val="0"/>
      <w:divBdr>
        <w:top w:val="none" w:sz="0" w:space="0" w:color="auto"/>
        <w:left w:val="none" w:sz="0" w:space="0" w:color="auto"/>
        <w:bottom w:val="none" w:sz="0" w:space="0" w:color="auto"/>
        <w:right w:val="none" w:sz="0" w:space="0" w:color="auto"/>
      </w:divBdr>
      <w:divsChild>
        <w:div w:id="303900594">
          <w:marLeft w:val="0"/>
          <w:marRight w:val="0"/>
          <w:marTop w:val="0"/>
          <w:marBottom w:val="0"/>
          <w:divBdr>
            <w:top w:val="none" w:sz="0" w:space="0" w:color="auto"/>
            <w:left w:val="none" w:sz="0" w:space="0" w:color="auto"/>
            <w:bottom w:val="none" w:sz="0" w:space="0" w:color="auto"/>
            <w:right w:val="none" w:sz="0" w:space="0" w:color="auto"/>
          </w:divBdr>
          <w:divsChild>
            <w:div w:id="1921671172">
              <w:marLeft w:val="0"/>
              <w:marRight w:val="0"/>
              <w:marTop w:val="0"/>
              <w:marBottom w:val="0"/>
              <w:divBdr>
                <w:top w:val="none" w:sz="0" w:space="0" w:color="auto"/>
                <w:left w:val="none" w:sz="0" w:space="0" w:color="auto"/>
                <w:bottom w:val="none" w:sz="0" w:space="0" w:color="auto"/>
                <w:right w:val="none" w:sz="0" w:space="0" w:color="auto"/>
              </w:divBdr>
            </w:div>
          </w:divsChild>
        </w:div>
        <w:div w:id="1888452078">
          <w:marLeft w:val="0"/>
          <w:marRight w:val="0"/>
          <w:marTop w:val="0"/>
          <w:marBottom w:val="0"/>
          <w:divBdr>
            <w:top w:val="single" w:sz="6" w:space="11" w:color="DBDBDB"/>
            <w:left w:val="none" w:sz="0" w:space="0" w:color="auto"/>
            <w:bottom w:val="none" w:sz="0" w:space="0" w:color="auto"/>
            <w:right w:val="none" w:sz="0" w:space="0" w:color="auto"/>
          </w:divBdr>
          <w:divsChild>
            <w:div w:id="1190021535">
              <w:marLeft w:val="0"/>
              <w:marRight w:val="0"/>
              <w:marTop w:val="0"/>
              <w:marBottom w:val="0"/>
              <w:divBdr>
                <w:top w:val="none" w:sz="0" w:space="0" w:color="auto"/>
                <w:left w:val="none" w:sz="0" w:space="0" w:color="auto"/>
                <w:bottom w:val="none" w:sz="0" w:space="0" w:color="auto"/>
                <w:right w:val="none" w:sz="0" w:space="0" w:color="auto"/>
              </w:divBdr>
            </w:div>
            <w:div w:id="2032563759">
              <w:marLeft w:val="0"/>
              <w:marRight w:val="0"/>
              <w:marTop w:val="0"/>
              <w:marBottom w:val="0"/>
              <w:divBdr>
                <w:top w:val="none" w:sz="0" w:space="0" w:color="auto"/>
                <w:left w:val="none" w:sz="0" w:space="0" w:color="auto"/>
                <w:bottom w:val="none" w:sz="0" w:space="0" w:color="auto"/>
                <w:right w:val="none" w:sz="0" w:space="0" w:color="auto"/>
              </w:divBdr>
            </w:div>
            <w:div w:id="583341195">
              <w:marLeft w:val="0"/>
              <w:marRight w:val="0"/>
              <w:marTop w:val="0"/>
              <w:marBottom w:val="0"/>
              <w:divBdr>
                <w:top w:val="none" w:sz="0" w:space="0" w:color="auto"/>
                <w:left w:val="none" w:sz="0" w:space="0" w:color="auto"/>
                <w:bottom w:val="none" w:sz="0" w:space="0" w:color="auto"/>
                <w:right w:val="none" w:sz="0" w:space="0" w:color="auto"/>
              </w:divBdr>
            </w:div>
            <w:div w:id="873496097">
              <w:marLeft w:val="0"/>
              <w:marRight w:val="0"/>
              <w:marTop w:val="75"/>
              <w:marBottom w:val="0"/>
              <w:divBdr>
                <w:top w:val="none" w:sz="0" w:space="0" w:color="auto"/>
                <w:left w:val="none" w:sz="0" w:space="0" w:color="auto"/>
                <w:bottom w:val="none" w:sz="0" w:space="0" w:color="auto"/>
                <w:right w:val="none" w:sz="0" w:space="0" w:color="auto"/>
              </w:divBdr>
            </w:div>
          </w:divsChild>
        </w:div>
        <w:div w:id="947666061">
          <w:marLeft w:val="0"/>
          <w:marRight w:val="0"/>
          <w:marTop w:val="0"/>
          <w:marBottom w:val="0"/>
          <w:divBdr>
            <w:top w:val="single" w:sz="6" w:space="11" w:color="DBDBDB"/>
            <w:left w:val="none" w:sz="0" w:space="0" w:color="auto"/>
            <w:bottom w:val="none" w:sz="0" w:space="0" w:color="auto"/>
            <w:right w:val="none" w:sz="0" w:space="0" w:color="auto"/>
          </w:divBdr>
          <w:divsChild>
            <w:div w:id="806121370">
              <w:marLeft w:val="0"/>
              <w:marRight w:val="0"/>
              <w:marTop w:val="0"/>
              <w:marBottom w:val="0"/>
              <w:divBdr>
                <w:top w:val="none" w:sz="0" w:space="0" w:color="auto"/>
                <w:left w:val="none" w:sz="0" w:space="0" w:color="auto"/>
                <w:bottom w:val="none" w:sz="0" w:space="0" w:color="auto"/>
                <w:right w:val="none" w:sz="0" w:space="0" w:color="auto"/>
              </w:divBdr>
            </w:div>
            <w:div w:id="489516530">
              <w:marLeft w:val="0"/>
              <w:marRight w:val="0"/>
              <w:marTop w:val="0"/>
              <w:marBottom w:val="0"/>
              <w:divBdr>
                <w:top w:val="none" w:sz="0" w:space="0" w:color="auto"/>
                <w:left w:val="none" w:sz="0" w:space="0" w:color="auto"/>
                <w:bottom w:val="none" w:sz="0" w:space="0" w:color="auto"/>
                <w:right w:val="none" w:sz="0" w:space="0" w:color="auto"/>
              </w:divBdr>
            </w:div>
            <w:div w:id="21905751">
              <w:marLeft w:val="0"/>
              <w:marRight w:val="0"/>
              <w:marTop w:val="75"/>
              <w:marBottom w:val="0"/>
              <w:divBdr>
                <w:top w:val="none" w:sz="0" w:space="0" w:color="auto"/>
                <w:left w:val="none" w:sz="0" w:space="0" w:color="auto"/>
                <w:bottom w:val="none" w:sz="0" w:space="0" w:color="auto"/>
                <w:right w:val="none" w:sz="0" w:space="0" w:color="auto"/>
              </w:divBdr>
            </w:div>
          </w:divsChild>
        </w:div>
        <w:div w:id="1637026886">
          <w:marLeft w:val="0"/>
          <w:marRight w:val="0"/>
          <w:marTop w:val="0"/>
          <w:marBottom w:val="0"/>
          <w:divBdr>
            <w:top w:val="single" w:sz="6" w:space="11" w:color="DBDBDB"/>
            <w:left w:val="none" w:sz="0" w:space="0" w:color="auto"/>
            <w:bottom w:val="none" w:sz="0" w:space="0" w:color="auto"/>
            <w:right w:val="none" w:sz="0" w:space="0" w:color="auto"/>
          </w:divBdr>
          <w:divsChild>
            <w:div w:id="2002925765">
              <w:marLeft w:val="0"/>
              <w:marRight w:val="0"/>
              <w:marTop w:val="0"/>
              <w:marBottom w:val="0"/>
              <w:divBdr>
                <w:top w:val="none" w:sz="0" w:space="0" w:color="auto"/>
                <w:left w:val="none" w:sz="0" w:space="0" w:color="auto"/>
                <w:bottom w:val="none" w:sz="0" w:space="0" w:color="auto"/>
                <w:right w:val="none" w:sz="0" w:space="0" w:color="auto"/>
              </w:divBdr>
            </w:div>
            <w:div w:id="47842843">
              <w:marLeft w:val="0"/>
              <w:marRight w:val="0"/>
              <w:marTop w:val="0"/>
              <w:marBottom w:val="0"/>
              <w:divBdr>
                <w:top w:val="none" w:sz="0" w:space="0" w:color="auto"/>
                <w:left w:val="none" w:sz="0" w:space="0" w:color="auto"/>
                <w:bottom w:val="none" w:sz="0" w:space="0" w:color="auto"/>
                <w:right w:val="none" w:sz="0" w:space="0" w:color="auto"/>
              </w:divBdr>
            </w:div>
            <w:div w:id="1257326666">
              <w:marLeft w:val="0"/>
              <w:marRight w:val="0"/>
              <w:marTop w:val="75"/>
              <w:marBottom w:val="0"/>
              <w:divBdr>
                <w:top w:val="none" w:sz="0" w:space="0" w:color="auto"/>
                <w:left w:val="none" w:sz="0" w:space="0" w:color="auto"/>
                <w:bottom w:val="none" w:sz="0" w:space="0" w:color="auto"/>
                <w:right w:val="none" w:sz="0" w:space="0" w:color="auto"/>
              </w:divBdr>
            </w:div>
          </w:divsChild>
        </w:div>
        <w:div w:id="882445414">
          <w:marLeft w:val="0"/>
          <w:marRight w:val="0"/>
          <w:marTop w:val="0"/>
          <w:marBottom w:val="0"/>
          <w:divBdr>
            <w:top w:val="single" w:sz="6" w:space="11" w:color="DBDBDB"/>
            <w:left w:val="none" w:sz="0" w:space="0" w:color="auto"/>
            <w:bottom w:val="none" w:sz="0" w:space="0" w:color="auto"/>
            <w:right w:val="none" w:sz="0" w:space="0" w:color="auto"/>
          </w:divBdr>
          <w:divsChild>
            <w:div w:id="1422986365">
              <w:marLeft w:val="0"/>
              <w:marRight w:val="0"/>
              <w:marTop w:val="0"/>
              <w:marBottom w:val="0"/>
              <w:divBdr>
                <w:top w:val="none" w:sz="0" w:space="0" w:color="auto"/>
                <w:left w:val="none" w:sz="0" w:space="0" w:color="auto"/>
                <w:bottom w:val="none" w:sz="0" w:space="0" w:color="auto"/>
                <w:right w:val="none" w:sz="0" w:space="0" w:color="auto"/>
              </w:divBdr>
            </w:div>
            <w:div w:id="633021744">
              <w:marLeft w:val="0"/>
              <w:marRight w:val="0"/>
              <w:marTop w:val="0"/>
              <w:marBottom w:val="0"/>
              <w:divBdr>
                <w:top w:val="none" w:sz="0" w:space="0" w:color="auto"/>
                <w:left w:val="none" w:sz="0" w:space="0" w:color="auto"/>
                <w:bottom w:val="none" w:sz="0" w:space="0" w:color="auto"/>
                <w:right w:val="none" w:sz="0" w:space="0" w:color="auto"/>
              </w:divBdr>
            </w:div>
            <w:div w:id="962465454">
              <w:marLeft w:val="0"/>
              <w:marRight w:val="0"/>
              <w:marTop w:val="75"/>
              <w:marBottom w:val="0"/>
              <w:divBdr>
                <w:top w:val="none" w:sz="0" w:space="0" w:color="auto"/>
                <w:left w:val="none" w:sz="0" w:space="0" w:color="auto"/>
                <w:bottom w:val="none" w:sz="0" w:space="0" w:color="auto"/>
                <w:right w:val="none" w:sz="0" w:space="0" w:color="auto"/>
              </w:divBdr>
            </w:div>
          </w:divsChild>
        </w:div>
        <w:div w:id="1489251717">
          <w:marLeft w:val="0"/>
          <w:marRight w:val="0"/>
          <w:marTop w:val="0"/>
          <w:marBottom w:val="0"/>
          <w:divBdr>
            <w:top w:val="single" w:sz="6" w:space="11" w:color="DBDBDB"/>
            <w:left w:val="none" w:sz="0" w:space="0" w:color="auto"/>
            <w:bottom w:val="none" w:sz="0" w:space="0" w:color="auto"/>
            <w:right w:val="none" w:sz="0" w:space="0" w:color="auto"/>
          </w:divBdr>
          <w:divsChild>
            <w:div w:id="1107584867">
              <w:marLeft w:val="0"/>
              <w:marRight w:val="0"/>
              <w:marTop w:val="0"/>
              <w:marBottom w:val="0"/>
              <w:divBdr>
                <w:top w:val="none" w:sz="0" w:space="0" w:color="auto"/>
                <w:left w:val="none" w:sz="0" w:space="0" w:color="auto"/>
                <w:bottom w:val="none" w:sz="0" w:space="0" w:color="auto"/>
                <w:right w:val="none" w:sz="0" w:space="0" w:color="auto"/>
              </w:divBdr>
            </w:div>
            <w:div w:id="1812018438">
              <w:marLeft w:val="0"/>
              <w:marRight w:val="0"/>
              <w:marTop w:val="0"/>
              <w:marBottom w:val="0"/>
              <w:divBdr>
                <w:top w:val="none" w:sz="0" w:space="0" w:color="auto"/>
                <w:left w:val="none" w:sz="0" w:space="0" w:color="auto"/>
                <w:bottom w:val="none" w:sz="0" w:space="0" w:color="auto"/>
                <w:right w:val="none" w:sz="0" w:space="0" w:color="auto"/>
              </w:divBdr>
            </w:div>
            <w:div w:id="941958829">
              <w:marLeft w:val="0"/>
              <w:marRight w:val="0"/>
              <w:marTop w:val="75"/>
              <w:marBottom w:val="0"/>
              <w:divBdr>
                <w:top w:val="none" w:sz="0" w:space="0" w:color="auto"/>
                <w:left w:val="none" w:sz="0" w:space="0" w:color="auto"/>
                <w:bottom w:val="none" w:sz="0" w:space="0" w:color="auto"/>
                <w:right w:val="none" w:sz="0" w:space="0" w:color="auto"/>
              </w:divBdr>
            </w:div>
          </w:divsChild>
        </w:div>
        <w:div w:id="147017201">
          <w:marLeft w:val="0"/>
          <w:marRight w:val="0"/>
          <w:marTop w:val="0"/>
          <w:marBottom w:val="0"/>
          <w:divBdr>
            <w:top w:val="single" w:sz="6" w:space="11" w:color="DBDBDB"/>
            <w:left w:val="none" w:sz="0" w:space="0" w:color="auto"/>
            <w:bottom w:val="none" w:sz="0" w:space="0" w:color="auto"/>
            <w:right w:val="none" w:sz="0" w:space="0" w:color="auto"/>
          </w:divBdr>
          <w:divsChild>
            <w:div w:id="1370951386">
              <w:marLeft w:val="0"/>
              <w:marRight w:val="0"/>
              <w:marTop w:val="0"/>
              <w:marBottom w:val="0"/>
              <w:divBdr>
                <w:top w:val="none" w:sz="0" w:space="0" w:color="auto"/>
                <w:left w:val="none" w:sz="0" w:space="0" w:color="auto"/>
                <w:bottom w:val="none" w:sz="0" w:space="0" w:color="auto"/>
                <w:right w:val="none" w:sz="0" w:space="0" w:color="auto"/>
              </w:divBdr>
            </w:div>
            <w:div w:id="1288051133">
              <w:marLeft w:val="0"/>
              <w:marRight w:val="0"/>
              <w:marTop w:val="0"/>
              <w:marBottom w:val="0"/>
              <w:divBdr>
                <w:top w:val="none" w:sz="0" w:space="0" w:color="auto"/>
                <w:left w:val="none" w:sz="0" w:space="0" w:color="auto"/>
                <w:bottom w:val="none" w:sz="0" w:space="0" w:color="auto"/>
                <w:right w:val="none" w:sz="0" w:space="0" w:color="auto"/>
              </w:divBdr>
            </w:div>
            <w:div w:id="2074964590">
              <w:marLeft w:val="0"/>
              <w:marRight w:val="0"/>
              <w:marTop w:val="75"/>
              <w:marBottom w:val="0"/>
              <w:divBdr>
                <w:top w:val="none" w:sz="0" w:space="0" w:color="auto"/>
                <w:left w:val="none" w:sz="0" w:space="0" w:color="auto"/>
                <w:bottom w:val="none" w:sz="0" w:space="0" w:color="auto"/>
                <w:right w:val="none" w:sz="0" w:space="0" w:color="auto"/>
              </w:divBdr>
            </w:div>
          </w:divsChild>
        </w:div>
        <w:div w:id="919414071">
          <w:marLeft w:val="0"/>
          <w:marRight w:val="0"/>
          <w:marTop w:val="0"/>
          <w:marBottom w:val="0"/>
          <w:divBdr>
            <w:top w:val="single" w:sz="6" w:space="11" w:color="DBDBDB"/>
            <w:left w:val="none" w:sz="0" w:space="0" w:color="auto"/>
            <w:bottom w:val="none" w:sz="0" w:space="0" w:color="auto"/>
            <w:right w:val="none" w:sz="0" w:space="0" w:color="auto"/>
          </w:divBdr>
          <w:divsChild>
            <w:div w:id="784736284">
              <w:marLeft w:val="0"/>
              <w:marRight w:val="0"/>
              <w:marTop w:val="0"/>
              <w:marBottom w:val="0"/>
              <w:divBdr>
                <w:top w:val="none" w:sz="0" w:space="0" w:color="auto"/>
                <w:left w:val="none" w:sz="0" w:space="0" w:color="auto"/>
                <w:bottom w:val="none" w:sz="0" w:space="0" w:color="auto"/>
                <w:right w:val="none" w:sz="0" w:space="0" w:color="auto"/>
              </w:divBdr>
            </w:div>
            <w:div w:id="13678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6823">
      <w:bodyDiv w:val="1"/>
      <w:marLeft w:val="0"/>
      <w:marRight w:val="0"/>
      <w:marTop w:val="0"/>
      <w:marBottom w:val="0"/>
      <w:divBdr>
        <w:top w:val="none" w:sz="0" w:space="0" w:color="auto"/>
        <w:left w:val="none" w:sz="0" w:space="0" w:color="auto"/>
        <w:bottom w:val="none" w:sz="0" w:space="0" w:color="auto"/>
        <w:right w:val="none" w:sz="0" w:space="0" w:color="auto"/>
      </w:divBdr>
    </w:div>
    <w:div w:id="184975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vail-emploi.gouv.fr/dialogue-social/la-representativite-syndicale-et-patronale/article/coordonnees-des-organisations-syndicales-de-salar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2148-7891-4828-A68A-8438ECC1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13079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Pointeau</dc:creator>
  <cp:keywords/>
  <dc:description/>
  <cp:lastModifiedBy>Nadège GRECIET</cp:lastModifiedBy>
  <cp:revision>24</cp:revision>
  <cp:lastPrinted>2023-10-11T13:50:00Z</cp:lastPrinted>
  <dcterms:created xsi:type="dcterms:W3CDTF">2023-10-09T10:17:00Z</dcterms:created>
  <dcterms:modified xsi:type="dcterms:W3CDTF">2023-10-13T13:11:00Z</dcterms:modified>
</cp:coreProperties>
</file>